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黑体" w:hAnsi="黑体" w:eastAsia="黑体"/>
          <w:color w:val="auto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44"/>
          <w:szCs w:val="44"/>
          <w:shd w:val="clear" w:color="auto" w:fill="FFFFFF"/>
          <w:lang w:val="en-US" w:eastAsia="zh-CN"/>
        </w:rPr>
        <w:t>霍林郭勒市科学技术局                2022年工作总结和2023年工作安排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2570" w:firstLineChars="8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2022年10月25日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今年以来，科技局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紧紧围绕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市委的重大工作部署要求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推动落实“科技兴蒙”行动，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以加快建立技术创新体系为抓手，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争资立项为重点，积极协助企业开展科技成果转化、关键技术攻关、创建科研平台，推动创新型霍林郭勒建设。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42"/>
        <w:jc w:val="both"/>
        <w:textAlignment w:val="auto"/>
        <w:rPr>
          <w:rFonts w:hint="eastAsia" w:ascii="黑体" w:hAnsi="宋体" w:eastAsia="黑体" w:cs="黑体"/>
          <w:color w:val="auto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fill="FFFFFF"/>
        </w:rPr>
        <w:t>工作开展情况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加强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shd w:val="clear" w:color="auto" w:fill="auto"/>
        </w:rPr>
        <w:t>政策引导</w:t>
      </w:r>
      <w:r>
        <w:rPr>
          <w:rFonts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，激发企业科技创新活力。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组织召开全市科技创新暨党风廉政建设工作会。学习传达党的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二十大精神和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十九大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及历次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全会精神、习近平总书记在参加十三届全国人大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次会议内蒙古代表团审议时的重要讲话精神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以及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自治区、通辽市和市委经济工作会议精神，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积极组织开展工作。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分解落实全年重点工作目标任务。为进一步明确任务，确保各项工作任务的落实，将科技局承担的经济发展重点工作任务以及各项目标责任分解，制定了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科技局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重点工作目标任务分解表，明确责任领导、责任科室和责任人，确保按时完成各项任务。</w:t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积极开展深入企业调研、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培训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工作。年初以来，走访调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锦联公司、联晟公司、</w:t>
      </w:r>
      <w:r>
        <w:rPr>
          <w:rStyle w:val="6"/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鸿骏铝电、霍宁碳素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和实训中心等20余家企事业单位，征集筛选科技平台类、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计划类项目20余项，为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积极争取上级投资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奠定基础。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先后组织企业参加通辽市科技局举办的“2022年高新技术企业认定管理线上培训会”、“金融助力科技创新企业专场对接会”、“2022年高新技术企业申报及科技型中小企业认定培训会”、“科技型企业研发费用加计扣除政策及科技项目申报技巧线上培训会”和我单位组织的“技术交易后补助政策及申报流程注意事项”、2023年自治区计划项目申报指南解读等7期培训会，培训企事业人员200余人次。同时，积极参加2022年（第三届）中国铝工业高质量发展峰会暨铝产品展会。</w:t>
      </w: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按照通辽市科技局和霍市政府的安排部署，启动编制《霍林郭勒高新技术产业开发区低碳科技创新实施方案》，目前已完成送审稿。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）加强科技项目建设，推进关键技术研发和成果转化。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立足我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资源优势和产业特色，积极组织申报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通辽市级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各类科技项目，竭力为企业项目申报提供全过程、便捷式服务，鼓励企业积极争取科技专项扶持资金大力开发新产品、新技术，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集中突破关键技术“卡脖子”难题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一是今年以来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，实施锦联公司优质铝合金示范项目、锦溪公司智能浇铸系统项目2项重大科技成果转化工程，实施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联晟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哈兹列特钢带表面火焰喷涂脱模技术研发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、旭阳公司铝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颜料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研发2项关键技术创新。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二是今年共向上级申报科技计划项目23项（国家级1项，自治区级16项，通辽级6项），其中自治区级的重点研发研发和成果转化项目共有9个项目获得自治区科技厅批复，分别是：内蒙古电投能源股份有限公司《蒙东草原典型露天矿区生态修复技术集成及示范》、内蒙古霍煤鸿骏铝电有限责任公司《电解铝烟气无组织排放深度治理技术开发及应用》、《绿色低碳铝电解深度节能与数字化综合技术研发项目》、内蒙古锦联铝材有限公司《锅炉磨煤机双向动态可调浓淡分离器提效研发》、内蒙古旭阳新材料有限公司《基于特种铝合金粉末的高强韧铝基复合材料设计、制备及应用》、《高耐酸碱腐蚀的彩色铝颜料制备关键技术及产业化》、内蒙古锦溪科技股份有限公司《智慧铝电解槽在线检测控制系统开发》、内蒙古联晟新能源材料有限公司《电池集流体用铝箔坯料制备关键技术研发》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、《哈兹列特连铸连轧工艺数值模拟仿真系统开发》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项目；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通辽级的规上工业企业科技计划项目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锦联铝材公司《400KA工厂组装阴极新型内衬结构节能技术》和联晟新能源公司《高强超薄电池箔关键技术研究》、《电池箔用高品质铝合金坯料制备关键技术研究》3个项目等待批复。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协助鸿骏公司、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旭一科技公司2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家企业申报202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自治区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技术交易后补助项目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已经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批复。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月底已累计争取自治区各类科技专项资金1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107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.1万元，2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预计到今年年底争取资金2000万元以上。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组织开展产学研合作，推动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人才引进和招商引资工作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为主动适应经济社会发展新常态，推动企业和高校院所协同创新，牵线搭桥，组织开展产学研合作活动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持续深化与东北大学等高校院所产学研合作，继续推进实训中心与东北大学合作研发的泡沫铝设备研发应用项目、铝危废资源化利用项目、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锦联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公司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与东大设计院合作研发的电解槽节能降碳技术研发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</w:rPr>
        <w:t>等重点产学研项目3项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fill="FFFFFF"/>
          <w:lang w:val="en-US" w:eastAsia="zh-CN"/>
        </w:rPr>
        <w:t>支持企业产学研合作申报自治区计划项目，今年已有7个项目获自治区科技厅研发转化项目支持（电池箔坯料研发、哈兹列特工艺仿真开发、智慧铝电解槽在线检测开发、电厂磨煤机提效研发、铝合金粉末冶金制备应用、彩铝颜料制备及产业化、露天煤矿生态修复技术集成及示范），分别与内蒙古工业大学、江苏大学、西安热工研究院、中科院合肥物质科学研究院、合肥大学、中科院生态环境研究中心、内蒙古民族大学合作研发，柔性引进高校院所高端人才36名，培养当地科研人才87名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fill="FFFFFF"/>
          <w:lang w:val="en-US" w:eastAsia="zh-CN"/>
        </w:rPr>
        <w:t>二是推动招商工作，6月份，与中能乐成（辽宁）产业园运营管理公司签订“低碳循环产业项目”意向协议。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扶持发展高新技术产业，助力经济发展转型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升级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</w:rPr>
        <w:t>实施高新技术企业倍增计划。支持规上企业建立技术中心、研发中心或创新联合体，形成具有自主知识产权的主导产品与核心技术。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根据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国家高质量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发展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要求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，结合我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</w:rPr>
        <w:t>企业实际，引导相关企业做好高新技术企业培育、认定申报准备工作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今年上半年，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霍林河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坑口电厂公司成功获批高新技术企业，高企总计达1</w:t>
      </w:r>
      <w:r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  <w:t>家（鸿骏、锦联、创源金属、创源合金、联晟、坑口电厂、旭阳、锦溪、霍煤碳素、恒大铝粉、海利机械）。已上报金辉粉体高新技术企业材料，待批。获批科技型中小企业5家（信达、锦溪、亚欧、启富、鼎鸿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）打造创新载体，推进科技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研发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平台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  <w:lang w:val="en-US" w:eastAsia="zh-CN"/>
        </w:rPr>
        <w:t>创建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</w:rPr>
        <w:t>坚持企业的创新主体地位，支持龙头企业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创建重点实验室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</w:rPr>
        <w:t>、研发中心或创新联合体，鼓励规上企业参与职业教育平台建设。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已创建通辽市科技平台3家：创建通辽级研发中心1家，创源金属绿色铝基新材料研究开发中心（通财科〔2022〕27号），并已上报自治区级研究开发中心，待批；协助高新区管委会申报企业特派员工作站，于5月底，经通辽市科技局公示，并上报自治区科技厅备案；5月份，协助鸿骏铝电公司成功创建通辽级科技成果转移转化示范基地（通科发〔2022〕41号），并于6月初上报自治区级，等待批复；10月中旬申报自治区级科技领军企业1家（锦联），待批。截止目前已创建通辽市级科技创新平台11个，其中：企业研发中心6个（鸿骏、锦联、旭阳、联晟、锦溪、创源金属）;企业重点实验室3个（鸿骏、锦联、联晟）；科技成果转移转化示范基地1个（鸿骏）；企业特派员工作站1个（高新区管委会企业服务中心）。自治区级平台载体15个，其中：自治区级高新区1个（霍林郭勒高新技术产业开发区）；企业研发中心6个（鸿骏、锦联、旭阳、联晟、锦溪、嘉华褐煤）；企业技术中心3个（鸿骏、锦联、联晟）；工程研究中心1个（锦联）；众创空间3个（锦溪、锦联、实训中心）；星创天地1个（巴润设施农业）；绿色工厂4个（国家级2个：锦联、鸿骏；自治区级2个：联晟、旭阳）；新型研发机构1个（内蒙古蒙东铝及新材料工程技术研究院）。推动科技金融发展，5月底旭阳新材料公司在内蒙古科技创新专板挂牌公示，累计在内蒙古科创板挂牌2家（锦溪、旭阳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加大农业科技研发投入，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助力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val="en-US" w:eastAsia="zh-CN"/>
        </w:rPr>
        <w:t>乡村振兴</w:t>
      </w:r>
      <w:r>
        <w:rPr>
          <w:rFonts w:hint="eastAsia" w:ascii="楷体" w:hAnsi="楷体" w:eastAsia="楷体" w:cs="楷体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通过做好育苗中心前期优质种子、基质筛选准备，</w:t>
      </w:r>
      <w:r>
        <w:rPr>
          <w:rFonts w:hint="eastAsia" w:ascii="仿宋_GB2312" w:eastAsia="仿宋_GB2312"/>
          <w:color w:val="auto"/>
          <w:sz w:val="32"/>
          <w:szCs w:val="32"/>
        </w:rPr>
        <w:t>跟踪抓好科技示范基地的新技术、新品种试验，</w:t>
      </w:r>
      <w:r>
        <w:rPr>
          <w:rFonts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不断提高育苗水平，完善蔬菜产业发展链条，</w:t>
      </w:r>
      <w:r>
        <w:rPr>
          <w:rFonts w:hint="eastAsia" w:ascii="仿宋_GB2312" w:eastAsia="仿宋_GB2312"/>
          <w:color w:val="auto"/>
          <w:sz w:val="32"/>
          <w:szCs w:val="32"/>
        </w:rPr>
        <w:t>实现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产业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振兴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设施农业科学发展。</w:t>
      </w:r>
      <w:r>
        <w:rPr>
          <w:rFonts w:hint="eastAsia" w:ascii="仿宋" w:hAnsi="仿宋" w:eastAsia="仿宋" w:cs="Arial"/>
          <w:color w:val="auto"/>
          <w:sz w:val="32"/>
          <w:szCs w:val="32"/>
          <w:lang w:val="en-US" w:eastAsia="zh-CN"/>
        </w:rPr>
        <w:t>在巴润设施农业园区育苗中心开展育苗工作，投入资金15万元，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培育发放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两期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蔬菜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种苗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5个新品种共计15万株，试种4个新品种，</w:t>
      </w:r>
      <w:r>
        <w:rPr>
          <w:rFonts w:hint="eastAsia" w:ascii="仿宋" w:hAnsi="仿宋" w:eastAsia="仿宋" w:cs="Arial"/>
          <w:color w:val="auto"/>
          <w:sz w:val="32"/>
          <w:szCs w:val="32"/>
          <w:lang w:val="en-US" w:eastAsia="zh-CN"/>
        </w:rPr>
        <w:t>切实增强科技带动能力。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Arial"/>
          <w:color w:val="auto"/>
          <w:sz w:val="32"/>
          <w:szCs w:val="32"/>
          <w:lang w:val="en-US" w:eastAsia="zh-CN"/>
        </w:rPr>
        <w:t>选派科技特派员20名，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开展蔬菜栽培技术培训3期，建立巴润设施农业园区种植户培训微信群，培训和宣传《灰霉病的防治技术》、《黄瓜的栽培技术》等生产指导培训内容，</w:t>
      </w:r>
      <w:r>
        <w:rPr>
          <w:rFonts w:hint="eastAsia" w:ascii="仿宋" w:hAnsi="仿宋" w:eastAsia="仿宋" w:cs="Arial"/>
          <w:color w:val="auto"/>
          <w:sz w:val="32"/>
          <w:szCs w:val="32"/>
          <w:lang w:val="en-US" w:eastAsia="zh-CN"/>
        </w:rPr>
        <w:t>培训人员200余人次。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fill="FFFFFF"/>
        </w:rPr>
        <w:t>二、存在的问题及</w:t>
      </w:r>
      <w:r>
        <w:rPr>
          <w:rFonts w:hint="eastAsia" w:ascii="黑体" w:hAnsi="宋体" w:eastAsia="黑体" w:cs="黑体"/>
          <w:color w:val="auto"/>
          <w:sz w:val="32"/>
          <w:szCs w:val="32"/>
          <w:shd w:val="clear" w:fill="FFFFFF"/>
          <w:lang w:val="en-US" w:eastAsia="zh-CN"/>
        </w:rPr>
        <w:t>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科技成果转化能力不强。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高新技术企业数量较少，高新技术产业竞争力不强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科技资源有限，研发能力不足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科技创新氛围不足。各企业主观能动性、积极性不强，有待进一步沟通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科技创新与传统产业融合发展不够紧密。目前，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sz w:val="32"/>
          <w:szCs w:val="32"/>
        </w:rPr>
        <w:t>没有国家级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sz w:val="32"/>
          <w:szCs w:val="32"/>
          <w:lang w:val="en-US" w:eastAsia="zh-CN"/>
        </w:rPr>
        <w:t>创新平台</w:t>
      </w:r>
      <w:r>
        <w:rPr>
          <w:rFonts w:hint="eastAsia" w:ascii="仿宋" w:hAnsi="仿宋" w:eastAsia="仿宋" w:cs="仿宋"/>
          <w:b w:val="0"/>
          <w:bCs w:val="0"/>
          <w:snapToGrid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企业自主研发能力较弱，没有实现产业链高端产品的衍生。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</w:rPr>
        <w:t>缺乏专业型高端科研人才，需要加强引进、培育科技创新人才。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黑体" w:hAnsi="宋体" w:eastAsia="黑体" w:cs="黑体"/>
          <w:color w:val="auto"/>
          <w:sz w:val="32"/>
          <w:szCs w:val="32"/>
          <w:shd w:val="clear" w:fill="FFFFFF"/>
        </w:rPr>
        <w:t>三、</w:t>
      </w:r>
      <w:r>
        <w:rPr>
          <w:rFonts w:hint="eastAsia" w:ascii="黑体" w:hAnsi="宋体" w:eastAsia="黑体" w:cs="黑体"/>
          <w:color w:val="auto"/>
          <w:sz w:val="32"/>
          <w:szCs w:val="32"/>
          <w:shd w:val="clear" w:fill="FFFFFF"/>
          <w:lang w:val="en-US" w:eastAsia="zh-CN"/>
        </w:rPr>
        <w:t>下一步重点工作安排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（一）工作思路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以实施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自治区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“科技兴蒙”行动为统领，以落实“科技兴蒙30条”政策措施为抓手，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以争资立项为重点，以科技成果转化、关键技术攻关、创新平台载体建设三大任务为主线，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聚焦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特色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产业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，推动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产学研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合作，促进科技与产业融通发展，提升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创新能力。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（二）主要目标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国家级高新技术企业2家以上（信达，启富）；申报自治区级领军企业1家以上（鸿骏）；申报争取上级科技专项资金项目5项以上（锦联、联晟、信兴、创源、鸿骏、坑口电厂）；申报通辽市级以上企业研发中心两家（浙泰铝业）；申报通辽市级科技成果转化示范基地1家以上（锦联）；开展新型研发机构、技术创新中心等前期准备工作（锦联、创源），实施科技研发转化项目10项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（三）重点任务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1.实施关键技术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攻关，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引领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产业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转型升级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围绕产业链部署创新链，聚焦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千亿级绿色煤电铝产业集群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创新需求，鼓励和支持创新主体积极开展关键技术攻关工程，积极争取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国家、自治区、通辽市科技专项支持，着力解决节能、节水、减污降碳、固废危废处置利用等突出短板弱项、破解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原铝独大、高端铝产品少等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瓶颈制约，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推动优势特色产业延链补链强链，形成新的发展优势。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加强创新平台载体建设，打造创新高地。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开展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霍林郭勒市高新技术产业开发区“促优培育”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行动，将高新区打造成为集聚创新资源、培育高新技术企业、发展高新技术产业的核心载体。支持知名高校、科研院所、企业在我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设立新型研发机构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，构建形成创新平台体系。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3.推动科技成果转移转化，促进科技与经济紧密融合。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自治区科技成果转移转化体系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以需求为导向，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积极支持企业参与自治区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举办“科技兴蒙”行动合作主体科技成果对接推介活动，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鼓励企业积极登记技术交易合同，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鼓励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外合作主体在我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建立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科技咨询机构、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技术转移服务机构和科技成果转化基地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强化企业创新主体地位，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提升创新能力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加快提升企业创新能力，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鼓励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支持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企业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争取国家、自治区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重大科技专项，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加快构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建以企业为主体、市场为导向、产学研深度融合的技术创新体系。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积极开展研发投入攻坚行动，继续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实施高新技术企业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“倍增”计划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，推动企业转型升级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5.完善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</w:rPr>
        <w:t>科技体制机制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，激发人才活力。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全面深化科技体制改革，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推进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项目、人才、平台一体化机制，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弘扬科技精神和工匠精神，加强科普工作，营造创新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</w:rPr>
        <w:t>的良好环境。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6.加强创新服务，优化环境。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持续加强科技政策宣传解读、业务培训、走访调研需求、建立项目储备库四项工作措施，加强科技创新服务工作，持续优化营商环境，助力高质量发展。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5B1ACD"/>
    <w:multiLevelType w:val="singleLevel"/>
    <w:tmpl w:val="FA5B1A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TFmN2QxZGMzYTIwMDQ3MTgzZjhhODQyNTUwMWYifQ=="/>
  </w:docVars>
  <w:rsids>
    <w:rsidRoot w:val="5B535D01"/>
    <w:rsid w:val="37070849"/>
    <w:rsid w:val="4BE660BF"/>
    <w:rsid w:val="56E36F50"/>
    <w:rsid w:val="5B535D01"/>
    <w:rsid w:val="5D7719D5"/>
    <w:rsid w:val="6156540F"/>
    <w:rsid w:val="618E553F"/>
    <w:rsid w:val="62257C51"/>
    <w:rsid w:val="7282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4324</Words>
  <Characters>4399</Characters>
  <Lines>0</Lines>
  <Paragraphs>0</Paragraphs>
  <TotalTime>1</TotalTime>
  <ScaleCrop>false</ScaleCrop>
  <LinksUpToDate>false</LinksUpToDate>
  <CharactersWithSpaces>4419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2022-10-25T02:57:00Z</dcterms:created>
  <dc:creator>pc</dc:creator>
  <cp:lastModifiedBy>❄️</cp:lastModifiedBy>
  <dcterms:modified xsi:type="dcterms:W3CDTF">2023-01-11T00:59:10Z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9934497AA4BD482C910574A0E9590B63</vt:lpwstr>
  </property>
</Properties>
</file>