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霍林郭勒市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再生铝招商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instrText xml:space="preserve"> HYPERLINK "https://aiqicha.baidu.com/detail/compinfo?pid=28736153660013&amp;rq=ef&amp;pd=ee&amp;from=ps" \t "https://www.baidu.com/_blank" </w:instrTex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天津市津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双金属线材有限公司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3月5日，霍林郭勒市再生铝招商处赴天津市津和双金属线材有限公司考察，与董事长张春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会面，洽谈投资事宜。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23495</wp:posOffset>
            </wp:positionV>
            <wp:extent cx="5608320" cy="3785870"/>
            <wp:effectExtent l="0" t="0" r="11430" b="5080"/>
            <wp:wrapTopAndBottom/>
            <wp:docPr id="1" name="图片 1" descr="83d98a09d4de09f7ed7c205b17e1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d98a09d4de09f7ed7c205b17e18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招商处向企方介绍了霍林郭勒市市情、产业发展情况以及未来再生铝发展规划，重点介绍了我市在再生铝产业招商方面给予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的优惠政策及地区资源禀赋。企方则重点针对招商优惠政策、营商环境、运输距离及原料、销售等问题向我方咨询，招商处一一详细解答，并诚挚邀请企方到我市实地考察。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下一步，招商处将持续跟踪服务该企业，早日促成其抵霍实地考察。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1A65F92"/>
    <w:rsid w:val="2E2D0A05"/>
    <w:rsid w:val="42915718"/>
    <w:rsid w:val="48B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Paragraphs>7</Paragraphs>
  <TotalTime>18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2023-03-06T04:30:00Z</dcterms:created>
  <dc:creator>Administrator</dc:creator>
  <cp:lastModifiedBy>Meng</cp:lastModifiedBy>
  <dcterms:modified xsi:type="dcterms:W3CDTF">2023-03-09T08:18:41Z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e8c4c94226d2447283a23b00afa3e1ea_22</vt:lpwstr>
  </property>
</Properties>
</file>