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霍林郭勒市山东招商处赴深圳考察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1445895</wp:posOffset>
            </wp:positionV>
            <wp:extent cx="5611495" cy="5821680"/>
            <wp:effectExtent l="0" t="0" r="8255" b="7620"/>
            <wp:wrapTopAndBottom/>
            <wp:docPr id="2" name="图片 2" descr="1d8a7dfa11a1fe3ea20dbec21bc662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8a7dfa11a1fe3ea20dbec21bc662e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3月14日，霍林郭勒市</w:t>
      </w:r>
      <w:r>
        <w:rPr>
          <w:rFonts w:hint="eastAsia" w:ascii="仿宋" w:hAnsi="仿宋" w:eastAsia="仿宋" w:cs="仿宋"/>
          <w:sz w:val="32"/>
          <w:szCs w:val="32"/>
        </w:rPr>
        <w:t>山东招商处赴深圳富士康工业富联考察，与富联创新蒋益民总经理就我市铝后精深加工、工业刀具、智能工厂、新能源等方面进行深入洽谈，蒋总表示将会持续关注我市的发展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情况，</w:t>
      </w:r>
      <w:r>
        <w:rPr>
          <w:rFonts w:hint="eastAsia" w:ascii="仿宋" w:hAnsi="仿宋" w:eastAsia="仿宋" w:cs="仿宋"/>
          <w:sz w:val="32"/>
          <w:szCs w:val="32"/>
        </w:rPr>
        <w:t>并寻求到我市投资合作的机会。</w:t>
      </w: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1C5D1ECA"/>
    <w:rsid w:val="30B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120</Characters>
  <Lines>0</Lines>
  <Paragraphs>0</Paragraphs>
  <TotalTime>7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2023-03-14T03:03:43Z</dcterms:created>
  <dc:creator>lenovoc</dc:creator>
  <cp:lastModifiedBy>Meng</cp:lastModifiedBy>
  <dcterms:modified xsi:type="dcterms:W3CDTF">2023-03-14T03:11:37Z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833520F574AC4256A8F1DC28DB2C9811</vt:lpwstr>
  </property>
</Properties>
</file>