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-824865</wp:posOffset>
                </wp:positionH>
                <wp:positionV relativeFrom="paragraph">
                  <wp:posOffset>-589280</wp:posOffset>
                </wp:positionV>
                <wp:extent cx="933450" cy="305435"/>
                <wp:effectExtent l="0" t="0" r="0" b="18415"/>
                <wp:wrapNone/>
                <wp:docPr id="2" name="文本框 2"/>
                <wp:cNvGraphicFramePr/>
                <a:graphic xmlns:a="http://schemas.openxmlformats.org/drawingml/2006/main">
                  <a:graphicData uri="http://schemas.microsoft.com/office/word/2010/wordprocessingShape">
                    <wps:wsp>
                      <wps:cNvSpPr txBox="1"/>
                      <wps:spPr>
                        <a:xfrm>
                          <a:off x="1746885" y="1877695"/>
                          <a:ext cx="93345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32"/>
                                <w:lang w:val="en-US" w:eastAsia="zh-CN"/>
                              </w:rPr>
                            </w:pPr>
                            <w:r>
                              <w:rPr>
                                <w:rFonts w:hint="eastAsia"/>
                                <w:sz w:val="24"/>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46.4pt;height:24.05pt;width:73.5pt;z-index:251659264;mso-width-relative:page;mso-height-relative:page;" fillcolor="#FFFFFF [3201]" filled="t" stroked="f" coordsize="21600,21600" o:gfxdata="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Ep3QDW&#10;AAAACwEAAA8AAAAAAAAAAQAgAAAAIgAAAGRycy9kb3ducmV2LnhtbFBLAQIUABQAAAAIAIdO4kCD&#10;gpMDWwIAAJoEAAAOAAAAAAAAAAEAIAAAACUBAABkcnMvZTJvRG9jLnhtbFBLBQYAAAAABgAGAFkB&#10;AADyBQAAAAA=&#10;">
                <v:fill on="t" focussize="0,0"/>
                <v:stroke on="f" weight="0.5pt"/>
                <v:imagedata o:title=""/>
                <o:lock v:ext="edit" aspectratio="f"/>
                <v:textbox>
                  <w:txbxContent>
                    <w:p>
                      <w:pPr>
                        <w:rPr>
                          <w:rFonts w:hint="eastAsia" w:eastAsia="宋体"/>
                          <w:sz w:val="24"/>
                          <w:szCs w:val="32"/>
                          <w:lang w:val="en-US" w:eastAsia="zh-CN"/>
                        </w:rPr>
                      </w:pPr>
                      <w:r>
                        <w:rPr>
                          <w:rFonts w:hint="eastAsia"/>
                          <w:sz w:val="24"/>
                          <w:szCs w:val="32"/>
                          <w:lang w:val="en-US" w:eastAsia="zh-CN"/>
                        </w:rPr>
                        <w:t>附件</w:t>
                      </w:r>
                    </w:p>
                  </w:txbxContent>
                </v:textbox>
              </v:shape>
            </w:pict>
          </mc:Fallback>
        </mc:AlternateContent>
      </w:r>
      <w:r>
        <w:rPr>
          <w:rFonts w:hint="eastAsia" w:ascii="仿宋" w:hAnsi="仿宋" w:eastAsia="仿宋" w:cs="仿宋"/>
          <w:b/>
          <w:bCs/>
          <w:sz w:val="44"/>
          <w:szCs w:val="44"/>
          <w:lang w:val="en-US" w:eastAsia="zh-CN"/>
        </w:rPr>
        <w:t>霍林郭勒市科技局2023年意</w:t>
      </w:r>
      <w:bookmarkStart w:id="0" w:name="_GoBack"/>
      <w:bookmarkEnd w:id="0"/>
      <w:r>
        <w:rPr>
          <w:rFonts w:hint="eastAsia" w:ascii="仿宋" w:hAnsi="仿宋" w:eastAsia="仿宋" w:cs="仿宋"/>
          <w:b/>
          <w:bCs/>
          <w:sz w:val="44"/>
          <w:szCs w:val="44"/>
          <w:lang w:val="en-US" w:eastAsia="zh-CN"/>
        </w:rPr>
        <w:t>识形态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工作计划</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贯彻落实党</w:t>
      </w:r>
      <w:r>
        <w:rPr>
          <w:rFonts w:hint="eastAsia" w:ascii="仿宋" w:hAnsi="仿宋" w:eastAsia="仿宋" w:cs="仿宋"/>
          <w:sz w:val="32"/>
          <w:szCs w:val="32"/>
        </w:rPr>
        <w:t>中央、</w:t>
      </w:r>
      <w:r>
        <w:rPr>
          <w:rFonts w:hint="eastAsia" w:ascii="仿宋" w:hAnsi="仿宋" w:eastAsia="仿宋" w:cs="仿宋"/>
          <w:sz w:val="32"/>
          <w:szCs w:val="32"/>
          <w:lang w:val="en-US" w:eastAsia="zh-CN"/>
        </w:rPr>
        <w:t>自治区、通辽市和我市</w:t>
      </w:r>
      <w:r>
        <w:rPr>
          <w:rFonts w:hint="eastAsia" w:ascii="仿宋" w:hAnsi="仿宋" w:eastAsia="仿宋" w:cs="仿宋"/>
          <w:sz w:val="32"/>
          <w:szCs w:val="32"/>
        </w:rPr>
        <w:t>意识形态工作相关文件精神，强化</w:t>
      </w:r>
      <w:r>
        <w:rPr>
          <w:rFonts w:hint="eastAsia" w:ascii="仿宋" w:hAnsi="仿宋" w:eastAsia="仿宋" w:cs="仿宋"/>
          <w:sz w:val="32"/>
          <w:szCs w:val="32"/>
          <w:lang w:val="en-US" w:eastAsia="zh-CN"/>
        </w:rPr>
        <w:t>科技领域</w:t>
      </w:r>
      <w:r>
        <w:rPr>
          <w:rFonts w:hint="eastAsia" w:ascii="仿宋" w:hAnsi="仿宋" w:eastAsia="仿宋" w:cs="仿宋"/>
          <w:sz w:val="32"/>
          <w:szCs w:val="32"/>
        </w:rPr>
        <w:t>意识形态</w:t>
      </w:r>
      <w:r>
        <w:rPr>
          <w:rFonts w:hint="eastAsia" w:ascii="仿宋" w:hAnsi="仿宋" w:eastAsia="仿宋" w:cs="仿宋"/>
          <w:sz w:val="32"/>
          <w:szCs w:val="32"/>
          <w:lang w:val="en-US" w:eastAsia="zh-CN"/>
        </w:rPr>
        <w:t>工作</w:t>
      </w:r>
      <w:r>
        <w:rPr>
          <w:rFonts w:hint="eastAsia" w:ascii="仿宋" w:hAnsi="仿宋" w:eastAsia="仿宋" w:cs="仿宋"/>
          <w:sz w:val="32"/>
          <w:szCs w:val="32"/>
        </w:rPr>
        <w:t>引导和管理，结合工作实际，</w:t>
      </w:r>
      <w:r>
        <w:rPr>
          <w:rFonts w:hint="eastAsia" w:ascii="仿宋" w:hAnsi="仿宋" w:eastAsia="仿宋" w:cs="仿宋"/>
          <w:sz w:val="32"/>
          <w:szCs w:val="32"/>
          <w:lang w:val="en-US" w:eastAsia="zh-CN"/>
        </w:rPr>
        <w:t>现</w:t>
      </w:r>
      <w:r>
        <w:rPr>
          <w:rFonts w:hint="eastAsia" w:ascii="仿宋" w:hAnsi="仿宋" w:eastAsia="仿宋" w:cs="仿宋"/>
          <w:sz w:val="32"/>
          <w:szCs w:val="32"/>
        </w:rPr>
        <w:t>制定202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年意识形态工作计划如下： </w:t>
      </w:r>
    </w:p>
    <w:p>
      <w:pPr>
        <w:keepNext w:val="0"/>
        <w:keepLines w:val="0"/>
        <w:pageBreakBefore w:val="0"/>
        <w:widowControl w:val="0"/>
        <w:numPr>
          <w:ilvl w:val="0"/>
          <w:numId w:val="1"/>
        </w:numPr>
        <w:tabs>
          <w:tab w:val="left" w:pos="547"/>
        </w:tabs>
        <w:kinsoku/>
        <w:wordWrap/>
        <w:overflowPunct/>
        <w:topLinePunct w:val="0"/>
        <w:autoSpaceDE/>
        <w:autoSpaceDN/>
        <w:bidi w:val="0"/>
        <w:adjustRightInd/>
        <w:snapToGrid/>
        <w:ind w:left="-10" w:leftChars="0" w:firstLine="64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深入贯彻落实中央、</w:t>
      </w:r>
      <w:r>
        <w:rPr>
          <w:rFonts w:hint="eastAsia" w:ascii="仿宋" w:hAnsi="仿宋" w:eastAsia="仿宋" w:cs="仿宋"/>
          <w:sz w:val="32"/>
          <w:szCs w:val="32"/>
          <w:lang w:val="en-US" w:eastAsia="zh-CN"/>
        </w:rPr>
        <w:t>自治区、通辽市和我市</w:t>
      </w:r>
      <w:r>
        <w:rPr>
          <w:rFonts w:hint="eastAsia" w:ascii="仿宋" w:hAnsi="仿宋" w:eastAsia="仿宋" w:cs="仿宋"/>
          <w:sz w:val="32"/>
          <w:szCs w:val="32"/>
        </w:rPr>
        <w:t>意识形态工作决策部署，进一步加强和改进意识形态工作，牢牢掌握意识形态工作领导权和话语权，切实抓好意识形态工作。</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组织领导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成立以</w:t>
      </w:r>
      <w:r>
        <w:rPr>
          <w:rFonts w:hint="eastAsia" w:ascii="仿宋" w:hAnsi="仿宋" w:eastAsia="仿宋" w:cs="仿宋"/>
          <w:sz w:val="32"/>
          <w:szCs w:val="32"/>
          <w:lang w:val="en-US" w:eastAsia="zh-CN"/>
        </w:rPr>
        <w:t>党支部</w:t>
      </w:r>
      <w:r>
        <w:rPr>
          <w:rFonts w:hint="eastAsia" w:ascii="仿宋" w:hAnsi="仿宋" w:eastAsia="仿宋" w:cs="仿宋"/>
          <w:sz w:val="32"/>
          <w:szCs w:val="32"/>
        </w:rPr>
        <w:t>书记为组长，班子成员为组员的意识形态和网络安全领导小组，办公室具体负责意识形态和网络</w:t>
      </w:r>
      <w:r>
        <w:rPr>
          <w:rFonts w:hint="eastAsia" w:ascii="仿宋" w:hAnsi="仿宋" w:eastAsia="仿宋" w:cs="仿宋"/>
          <w:sz w:val="32"/>
          <w:szCs w:val="32"/>
          <w:lang w:val="en-US" w:eastAsia="zh-CN"/>
        </w:rPr>
        <w:t>意识形态</w:t>
      </w:r>
      <w:r>
        <w:rPr>
          <w:rFonts w:hint="eastAsia" w:ascii="仿宋" w:hAnsi="仿宋" w:eastAsia="仿宋" w:cs="仿宋"/>
          <w:sz w:val="32"/>
          <w:szCs w:val="32"/>
        </w:rPr>
        <w:t>工作，履行指导、组织、协调、督查和抓好落实的职责。</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工作措施</w:t>
      </w:r>
      <w:r>
        <w:rPr>
          <w:rFonts w:hint="eastAsia" w:ascii="仿宋" w:hAnsi="仿宋" w:eastAsia="仿宋" w:cs="仿宋"/>
          <w:b/>
          <w:bCs/>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抓好部署推动。将意识形态工作摆上重要议事日程，</w:t>
      </w:r>
      <w:r>
        <w:rPr>
          <w:rFonts w:hint="eastAsia" w:ascii="仿宋" w:hAnsi="仿宋" w:eastAsia="仿宋" w:cs="仿宋"/>
          <w:sz w:val="32"/>
          <w:szCs w:val="32"/>
        </w:rPr>
        <w:t>坚持党管意识形态原则。认真贯彻落实党中央、</w:t>
      </w:r>
      <w:r>
        <w:rPr>
          <w:rFonts w:hint="eastAsia" w:ascii="仿宋" w:hAnsi="仿宋" w:eastAsia="仿宋" w:cs="仿宋"/>
          <w:sz w:val="32"/>
          <w:szCs w:val="32"/>
          <w:lang w:val="en-US" w:eastAsia="zh-CN"/>
        </w:rPr>
        <w:t>自治区、通辽市和我市</w:t>
      </w:r>
      <w:r>
        <w:rPr>
          <w:rFonts w:hint="eastAsia" w:ascii="仿宋" w:hAnsi="仿宋" w:eastAsia="仿宋" w:cs="仿宋"/>
          <w:sz w:val="32"/>
          <w:szCs w:val="32"/>
        </w:rPr>
        <w:t>关于意识形态工作的决策部署和指示精神，严守政治纪律、组织纪律和宣传纪律，坚决维护党中央权威，在思想上、政治上、行动上同党中央保持高度一致。</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大力推进理论武装工作，抓好形势政策教育，组织干部职工深入贯彻学习党的二十大和历次全会精神和习近平新时代中国特色社会主义思想以及上级部门重要会议文件精神、廉政政策法规等内容，提升和推动党员正确理解和自觉贯彻执行党的理论和方针政策，</w:t>
      </w:r>
      <w:r>
        <w:rPr>
          <w:rFonts w:hint="eastAsia" w:ascii="仿宋" w:hAnsi="仿宋" w:eastAsia="仿宋" w:cs="仿宋"/>
          <w:sz w:val="32"/>
          <w:szCs w:val="32"/>
        </w:rPr>
        <w:t>强化党员干部的学习教育。</w:t>
      </w:r>
      <w:r>
        <w:rPr>
          <w:rFonts w:hint="eastAsia" w:ascii="仿宋" w:hAnsi="仿宋" w:eastAsia="仿宋" w:cs="仿宋"/>
          <w:sz w:val="32"/>
          <w:szCs w:val="32"/>
          <w:lang w:val="en-US" w:eastAsia="zh-CN"/>
        </w:rPr>
        <w:t>明确党支部书记为意识形态第一责任人，其他班子成员实行“一岗双责”责任制。</w:t>
      </w:r>
      <w:r>
        <w:rPr>
          <w:rFonts w:hint="default" w:ascii="仿宋" w:hAnsi="仿宋" w:eastAsia="仿宋" w:cs="仿宋"/>
          <w:sz w:val="32"/>
          <w:szCs w:val="32"/>
          <w:lang w:val="en-US" w:eastAsia="zh-CN"/>
        </w:rPr>
        <w:t>组织开展好政治理论学习，引导党员干部学理论、学法规、学业务，</w:t>
      </w:r>
      <w:r>
        <w:rPr>
          <w:rFonts w:hint="eastAsia" w:ascii="仿宋" w:hAnsi="仿宋" w:eastAsia="仿宋" w:cs="仿宋"/>
          <w:sz w:val="32"/>
          <w:szCs w:val="32"/>
        </w:rPr>
        <w:t>认真学习贯彻习近平新时代</w:t>
      </w:r>
      <w:r>
        <w:rPr>
          <w:rFonts w:hint="eastAsia" w:ascii="仿宋" w:hAnsi="仿宋" w:eastAsia="仿宋" w:cs="仿宋"/>
          <w:sz w:val="32"/>
          <w:szCs w:val="32"/>
          <w:lang w:val="en-US" w:eastAsia="zh-CN"/>
        </w:rPr>
        <w:t>中国</w:t>
      </w:r>
      <w:r>
        <w:rPr>
          <w:rFonts w:hint="eastAsia" w:ascii="仿宋" w:hAnsi="仿宋" w:eastAsia="仿宋" w:cs="仿宋"/>
          <w:sz w:val="32"/>
          <w:szCs w:val="32"/>
        </w:rPr>
        <w:t>特色社会主义思想和党的</w:t>
      </w:r>
      <w:r>
        <w:rPr>
          <w:rFonts w:hint="eastAsia" w:ascii="仿宋" w:hAnsi="仿宋" w:eastAsia="仿宋" w:cs="仿宋"/>
          <w:sz w:val="32"/>
          <w:szCs w:val="32"/>
          <w:lang w:val="en-US" w:eastAsia="zh-CN"/>
        </w:rPr>
        <w:t>二十</w:t>
      </w:r>
      <w:r>
        <w:rPr>
          <w:rFonts w:hint="eastAsia" w:ascii="仿宋" w:hAnsi="仿宋" w:eastAsia="仿宋" w:cs="仿宋"/>
          <w:sz w:val="32"/>
          <w:szCs w:val="32"/>
        </w:rPr>
        <w:t>大精神，组织好社会主义核心价值观的学习和践行，巩固马克思主义在意识形态领域的指导地位</w:t>
      </w:r>
      <w:r>
        <w:rPr>
          <w:rFonts w:hint="default" w:ascii="仿宋" w:hAnsi="仿宋" w:eastAsia="仿宋" w:cs="仿宋"/>
          <w:sz w:val="32"/>
          <w:szCs w:val="32"/>
          <w:lang w:val="en-US" w:eastAsia="zh-CN"/>
        </w:rPr>
        <w:t>。</w:t>
      </w:r>
      <w:r>
        <w:rPr>
          <w:rFonts w:hint="eastAsia" w:ascii="仿宋" w:hAnsi="仿宋" w:eastAsia="仿宋" w:cs="仿宋"/>
          <w:sz w:val="32"/>
          <w:szCs w:val="32"/>
        </w:rPr>
        <w:t>加强党员干部学习教育管理，把意识形态工作纳入“支部主题党日”的重要内容。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建立健全意识形态领域舆情信息收集和分析研判机制，坚持正确的舆论导向，明确工作方向。定期召开意识形态领域工作会，牢牢抓紧意识形态安全工作。</w:t>
      </w:r>
      <w:r>
        <w:rPr>
          <w:rFonts w:hint="eastAsia" w:ascii="仿宋" w:hAnsi="仿宋" w:eastAsia="仿宋" w:cs="仿宋"/>
          <w:sz w:val="32"/>
          <w:szCs w:val="32"/>
        </w:rPr>
        <w:t>坚持正面引导和反面典型警示。大力讴歌党的丰功伟绩，充分挖掘先进典型，及时通报反面典型案例，坚持用正面典型引导和反面典型警示教育。</w:t>
      </w:r>
      <w:r>
        <w:rPr>
          <w:rFonts w:hint="eastAsia" w:ascii="仿宋" w:hAnsi="仿宋" w:eastAsia="仿宋" w:cs="仿宋"/>
          <w:sz w:val="32"/>
          <w:szCs w:val="32"/>
          <w:lang w:val="en-US" w:eastAsia="zh-CN"/>
        </w:rPr>
        <w:t>每年至少两次专题研究意识形态工作，定期分析研判意识形态领域情况，分清主流支流，对重大事件、重要情况、重要社情民意中的倾向性苗头性问题，有针对性地进行引导，作出工作安排，维护意识形态安全。</w:t>
      </w:r>
      <w:r>
        <w:rPr>
          <w:rFonts w:hint="eastAsia" w:ascii="仿宋" w:hAnsi="仿宋" w:eastAsia="仿宋" w:cs="仿宋"/>
          <w:sz w:val="32"/>
          <w:szCs w:val="32"/>
        </w:rPr>
        <w:t>加强网络舆情管理。按“谁组建、谁负责”</w:t>
      </w:r>
      <w:r>
        <w:rPr>
          <w:rFonts w:hint="eastAsia" w:ascii="仿宋" w:hAnsi="仿宋" w:eastAsia="仿宋" w:cs="仿宋"/>
          <w:sz w:val="32"/>
          <w:szCs w:val="32"/>
          <w:lang w:eastAsia="zh-CN"/>
        </w:rPr>
        <w:t>，</w:t>
      </w:r>
      <w:r>
        <w:rPr>
          <w:rFonts w:hint="eastAsia" w:ascii="仿宋" w:hAnsi="仿宋" w:eastAsia="仿宋" w:cs="仿宋"/>
          <w:sz w:val="32"/>
          <w:szCs w:val="32"/>
        </w:rPr>
        <w:t>切实对有关微信、QQ工作群</w:t>
      </w:r>
      <w:r>
        <w:rPr>
          <w:rFonts w:hint="eastAsia" w:ascii="仿宋" w:hAnsi="仿宋" w:eastAsia="仿宋" w:cs="仿宋"/>
          <w:sz w:val="32"/>
          <w:szCs w:val="32"/>
          <w:lang w:val="en-US" w:eastAsia="zh-CN"/>
        </w:rPr>
        <w:t>和微信公众号</w:t>
      </w:r>
      <w:r>
        <w:rPr>
          <w:rFonts w:hint="eastAsia" w:ascii="仿宋" w:hAnsi="仿宋" w:eastAsia="仿宋" w:cs="仿宋"/>
          <w:sz w:val="32"/>
          <w:szCs w:val="32"/>
        </w:rPr>
        <w:t>加强管理。</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加强涉密文件的管理。严格按照保密要求，加强对涉密文件、办公电脑管理使用</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工作要求</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充分认识新形势下意识形态工作的重要性，牢牢把握意识形态工作的主动性，</w:t>
      </w:r>
      <w:r>
        <w:rPr>
          <w:rFonts w:hint="eastAsia" w:ascii="仿宋" w:hAnsi="仿宋" w:eastAsia="仿宋" w:cs="仿宋"/>
          <w:sz w:val="32"/>
          <w:szCs w:val="32"/>
        </w:rPr>
        <w:t>统一思想，提高认识。认真贯彻落实党中央和上级关于意识形态工作的决策部署及指示精神，牢牢把握正确政治方向，坚决维护党中央权威，在思想上政治上行动上时刻同党中央保持高度一致。</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畅通意识形态工作的主渠道，扎实抓好全体</w:t>
      </w:r>
      <w:r>
        <w:rPr>
          <w:rFonts w:hint="eastAsia" w:ascii="仿宋" w:hAnsi="仿宋" w:eastAsia="仿宋" w:cs="仿宋"/>
          <w:sz w:val="32"/>
          <w:szCs w:val="32"/>
          <w:lang w:val="en-US" w:eastAsia="zh-CN"/>
        </w:rPr>
        <w:t>党员</w:t>
      </w:r>
      <w:r>
        <w:rPr>
          <w:rFonts w:hint="eastAsia" w:ascii="仿宋" w:hAnsi="仿宋" w:eastAsia="仿宋" w:cs="仿宋"/>
          <w:sz w:val="32"/>
          <w:szCs w:val="32"/>
        </w:rPr>
        <w:t>的思想政治教育。加强队伍建设和制度建设，建立抓好意识形态工作的长效机制</w:t>
      </w:r>
      <w:r>
        <w:rPr>
          <w:rFonts w:hint="eastAsia" w:ascii="仿宋" w:hAnsi="仿宋" w:eastAsia="仿宋" w:cs="仿宋"/>
          <w:sz w:val="32"/>
          <w:szCs w:val="32"/>
          <w:lang w:eastAsia="zh-CN"/>
        </w:rPr>
        <w:t>。</w:t>
      </w:r>
      <w:r>
        <w:rPr>
          <w:rFonts w:hint="eastAsia" w:ascii="仿宋" w:hAnsi="仿宋" w:eastAsia="仿宋" w:cs="仿宋"/>
          <w:sz w:val="32"/>
          <w:szCs w:val="32"/>
        </w:rPr>
        <w:t>完善机制，严肃纪律。把意识形态工作纳入执行党的纪律尤其是政治纪律和政治规矩的监督检查范围，严格落实责任，强化监督检查、考核，凡对意识形态领域出现的问题严肃追究责任</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2DB88"/>
    <w:multiLevelType w:val="singleLevel"/>
    <w:tmpl w:val="EF32DB88"/>
    <w:lvl w:ilvl="0" w:tentative="0">
      <w:start w:val="1"/>
      <w:numFmt w:val="chineseCounting"/>
      <w:suff w:val="nothing"/>
      <w:lvlText w:val="%1、"/>
      <w:lvlJc w:val="left"/>
      <w:pPr>
        <w:ind w:left="-10"/>
      </w:pPr>
      <w:rPr>
        <w:rFonts w:hint="eastAsia" w:ascii="仿宋" w:hAnsi="仿宋" w:eastAsia="仿宋" w:cs="仿宋"/>
        <w:b/>
        <w:bCs/>
        <w:sz w:val="32"/>
        <w:szCs w:val="32"/>
      </w:rPr>
    </w:lvl>
  </w:abstractNum>
  <w:abstractNum w:abstractNumId="1">
    <w:nsid w:val="F7A93A18"/>
    <w:multiLevelType w:val="singleLevel"/>
    <w:tmpl w:val="F7A93A18"/>
    <w:lvl w:ilvl="0" w:tentative="0">
      <w:start w:val="1"/>
      <w:numFmt w:val="decimal"/>
      <w:suff w:val="nothing"/>
      <w:lvlText w:val="%1、"/>
      <w:lvlJc w:val="left"/>
    </w:lvl>
  </w:abstractNum>
  <w:abstractNum w:abstractNumId="2">
    <w:nsid w:val="25997684"/>
    <w:multiLevelType w:val="singleLevel"/>
    <w:tmpl w:val="2599768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FkZDU0YTdjMzUzMmU1NTVkNmM5YTM3MmUzODgifQ=="/>
  </w:docVars>
  <w:rsids>
    <w:rsidRoot w:val="7CC407FC"/>
    <w:rsid w:val="27A45F3E"/>
    <w:rsid w:val="56C45C4B"/>
    <w:rsid w:val="6D1A7F7D"/>
    <w:rsid w:val="78451C36"/>
    <w:rsid w:val="7CC4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1374</Words>
  <Characters>1381</Characters>
  <Lines>0</Lines>
  <Paragraphs>0</Paragraphs>
  <TotalTime>6</TotalTime>
  <ScaleCrop>false</ScaleCrop>
  <LinksUpToDate>false</LinksUpToDate>
  <CharactersWithSpaces>1384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2023-03-30T02:16:00Z</dcterms:created>
  <dc:creator>。</dc:creator>
  <cp:lastModifiedBy>❄️</cp:lastModifiedBy>
  <cp:lastPrinted>2023-04-24T01:50:47Z</cp:lastPrinted>
  <dcterms:modified xsi:type="dcterms:W3CDTF">2023-04-24T01:53:45Z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274A41C0E8D742F78D5863393C7E06D3</vt:lpwstr>
  </property>
</Properties>
</file>