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达来胡硕苏木巴润布尔嘎斯台嘎查四议两公开事项清单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嘎查村决策村级经济社会发展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制定嘎查村经济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社会发展总体规划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公共事务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建设规划土地征用及补偿分配、土地调整、土地流转、宅基地审批等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公益事业经费筹集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嘎查村集体资产、资源的拍卖、发包、租赁、抵押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各类经济合同的签订、变更及执行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惠农政策落实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嘎查村公益事业建设及资金使用、招投标方案等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救济、救灾款物的发放，农村低保、新型农村合作医疗等惠农惠牧政策落实等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计划生育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乡村振兴和嘎查村集体经济项目的立项、承包及收益的使用等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组织实施与管理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嘎查村年度财务预算和按规定应报批的重大财务收支,嘎查村享受误工补贴人员及补贴标准等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宅基地审批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其他应当民主决策的重大事项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8D8C20A-DC94-417F-B16A-806FB3F9FB7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1B8A65E-6D79-458C-BBE0-2AA323AA2A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E07E8E-9076-40C9-BDB1-88FB2E4A47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70BD52A6"/>
    <w:rsid w:val="031E23E6"/>
    <w:rsid w:val="08644786"/>
    <w:rsid w:val="13974185"/>
    <w:rsid w:val="1DFF1EE4"/>
    <w:rsid w:val="2932354C"/>
    <w:rsid w:val="4EA85F92"/>
    <w:rsid w:val="5BE475B2"/>
    <w:rsid w:val="5DAD4B8D"/>
    <w:rsid w:val="70BD52A6"/>
    <w:rsid w:val="76714828"/>
    <w:rsid w:val="77694804"/>
    <w:rsid w:val="78B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2</Pages>
  <Words>336</Words>
  <Characters>360</Characters>
  <Lines>0</Lines>
  <Paragraphs>0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2023-08-16T01:50:00Z</dcterms:created>
  <dc:creator>Administrator</dc:creator>
  <cp:lastModifiedBy>AAA-甜馨、妈妈</cp:lastModifiedBy>
  <cp:lastPrinted>2023-08-17T07:06:44Z</cp:lastPrinted>
  <dcterms:modified xsi:type="dcterms:W3CDTF">2023-08-17T08:38:54Z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9493A059DA29405EBF169955D7BEAAB0_13</vt:lpwstr>
  </property>
</Properties>
</file>