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color w:val="auto"/>
          <w:sz w:val="44"/>
          <w:szCs w:val="44"/>
          <w:lang w:val="en-US" w:eastAsia="zh-CN"/>
        </w:rPr>
      </w:pPr>
      <w:r>
        <w:rPr>
          <w:rFonts w:hint="eastAsia" w:asciiTheme="minorEastAsia" w:hAnsiTheme="minorEastAsia" w:eastAsiaTheme="minorEastAsia" w:cstheme="minorEastAsia"/>
          <w:b w:val="0"/>
          <w:bCs/>
          <w:color w:val="auto"/>
          <w:sz w:val="44"/>
          <w:szCs w:val="44"/>
          <w:lang w:val="en-US" w:eastAsia="zh-CN"/>
        </w:rPr>
        <w:t>2023年</w:t>
      </w:r>
      <w:r>
        <w:rPr>
          <w:rFonts w:hint="eastAsia" w:asciiTheme="minorEastAsia" w:hAnsiTheme="minorEastAsia" w:cstheme="minorEastAsia"/>
          <w:b w:val="0"/>
          <w:bCs/>
          <w:color w:val="auto"/>
          <w:sz w:val="44"/>
          <w:szCs w:val="44"/>
          <w:lang w:val="en-US" w:eastAsia="zh-CN"/>
        </w:rPr>
        <w:t>二</w:t>
      </w:r>
      <w:r>
        <w:rPr>
          <w:rFonts w:hint="eastAsia" w:asciiTheme="minorEastAsia" w:hAnsiTheme="minorEastAsia" w:eastAsiaTheme="minorEastAsia" w:cstheme="minorEastAsia"/>
          <w:b w:val="0"/>
          <w:bCs/>
          <w:color w:val="auto"/>
          <w:sz w:val="44"/>
          <w:szCs w:val="44"/>
          <w:lang w:val="en-US" w:eastAsia="zh-CN"/>
        </w:rPr>
        <w:t>季度医保基金运行情况分析</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321" w:firstLineChars="100"/>
        <w:jc w:val="both"/>
        <w:textAlignment w:val="auto"/>
        <w:outlineLvl w:val="9"/>
        <w:rPr>
          <w:rFonts w:hint="eastAsia" w:ascii="黑体" w:hAnsi="黑体" w:eastAsia="黑体" w:cs="黑体"/>
          <w:b w:val="0"/>
          <w:bCs/>
          <w:color w:val="auto"/>
          <w:sz w:val="32"/>
          <w:szCs w:val="32"/>
          <w:lang w:val="en-US" w:eastAsia="zh-CN"/>
        </w:rPr>
      </w:pPr>
      <w:r>
        <w:rPr>
          <w:rFonts w:hint="eastAsia" w:asciiTheme="minorEastAsia" w:hAnsiTheme="minorEastAsia" w:eastAsiaTheme="minorEastAsia" w:cstheme="minorEastAsia"/>
          <w:b/>
          <w:bCs/>
          <w:color w:val="auto"/>
          <w:sz w:val="32"/>
          <w:szCs w:val="32"/>
          <w:lang w:eastAsia="zh-CN"/>
        </w:rPr>
        <w:t>　</w:t>
      </w:r>
      <w:r>
        <w:rPr>
          <w:rFonts w:hint="eastAsia" w:ascii="黑体" w:hAnsi="黑体" w:eastAsia="黑体" w:cs="黑体"/>
          <w:b w:val="0"/>
          <w:bCs/>
          <w:color w:val="auto"/>
          <w:sz w:val="32"/>
          <w:szCs w:val="32"/>
          <w:lang w:val="en-US" w:eastAsia="zh-CN"/>
        </w:rPr>
        <w:t>一、参保情况</w:t>
      </w:r>
    </w:p>
    <w:p>
      <w:pPr>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截止2023年6月末，我市共有参保人数为92638人，其中城镇职工44648人，城乡居民参保47990人。</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b w:val="0"/>
          <w:bCs/>
          <w:color w:val="auto"/>
          <w:sz w:val="32"/>
          <w:szCs w:val="32"/>
          <w:lang w:val="en-US" w:eastAsia="zh-CN"/>
        </w:rPr>
        <w:t>二、医保基金收支余情况</w:t>
      </w:r>
    </w:p>
    <w:p>
      <w:pPr>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（一）城镇职工医疗保险：</w:t>
      </w:r>
      <w:r>
        <w:rPr>
          <w:rFonts w:hint="eastAsia" w:ascii="仿宋" w:hAnsi="仿宋" w:eastAsia="仿宋" w:cs="仿宋"/>
          <w:b w:val="0"/>
          <w:bCs w:val="0"/>
          <w:color w:val="auto"/>
          <w:sz w:val="32"/>
          <w:szCs w:val="32"/>
          <w:lang w:val="en-US" w:eastAsia="zh-CN"/>
        </w:rPr>
        <w:t>城镇职工医保基金期初余额为12.70亿元，截至6月末本年累计收入2.03亿元,</w:t>
      </w:r>
      <w:r>
        <w:rPr>
          <w:rFonts w:hint="eastAsia" w:ascii="仿宋" w:hAnsi="仿宋" w:eastAsia="仿宋" w:cs="仿宋"/>
          <w:b w:val="0"/>
          <w:bCs w:val="0"/>
          <w:color w:val="auto"/>
          <w:sz w:val="32"/>
          <w:szCs w:val="32"/>
          <w:highlight w:val="none"/>
          <w:lang w:val="en-US" w:eastAsia="zh-CN"/>
        </w:rPr>
        <w:t>累计支出0.93亿元,</w:t>
      </w:r>
      <w:r>
        <w:rPr>
          <w:rFonts w:hint="eastAsia" w:ascii="仿宋" w:hAnsi="仿宋" w:eastAsia="仿宋" w:cs="仿宋"/>
          <w:b w:val="0"/>
          <w:bCs w:val="0"/>
          <w:color w:val="auto"/>
          <w:sz w:val="32"/>
          <w:szCs w:val="32"/>
          <w:lang w:val="en-US" w:eastAsia="zh-CN"/>
        </w:rPr>
        <w:t>累计结余13.8亿元。目前，统筹基金可支付205个月，我市城镇职工医保基金处于结余过多状态。</w:t>
      </w:r>
    </w:p>
    <w:p>
      <w:pPr>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（二）城乡居民医疗保险：</w:t>
      </w:r>
      <w:r>
        <w:rPr>
          <w:rFonts w:hint="eastAsia" w:ascii="仿宋" w:hAnsi="仿宋" w:eastAsia="仿宋" w:cs="仿宋"/>
          <w:b w:val="0"/>
          <w:bCs w:val="0"/>
          <w:color w:val="auto"/>
          <w:sz w:val="32"/>
          <w:szCs w:val="32"/>
          <w:lang w:val="en-US" w:eastAsia="zh-CN"/>
        </w:rPr>
        <w:t>城乡居民医保基金期初结余1740.72万元（其中含暂付异地平台669.79万元），截至6月末本年累计收入1739.24万元（其中：征收城镇居民医疗保险89.49万元，财政补助收入1636万元，利息收入13.75万元），累计支出2864.89万元（其中：拨入市本级支出户536.86万元，拨入我市支出户1350万元，拨入异地平台585.08万元，支付保险公司392.95万元）。累计结余615.07万元（含暂付异地平台669.79万元，专户实际结余-54.72万元）。目前，城乡居民医保基金已经出现收不抵支情况。</w:t>
      </w:r>
    </w:p>
    <w:p>
      <w:pPr>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（三）医疗救助保险：</w:t>
      </w:r>
      <w:r>
        <w:rPr>
          <w:rFonts w:hint="eastAsia" w:ascii="仿宋" w:hAnsi="仿宋" w:eastAsia="仿宋" w:cs="仿宋"/>
          <w:b w:val="0"/>
          <w:bCs w:val="0"/>
          <w:color w:val="auto"/>
          <w:sz w:val="32"/>
          <w:szCs w:val="32"/>
          <w:lang w:val="en-US" w:eastAsia="zh-CN"/>
        </w:rPr>
        <w:t>截止到6月底,上年累计结余187.74万元（其中含暂付异地平台75.87万元），财政补助收入595.84万元，支出462.61万元,其中：拨入市本级支出户99.79万元，拨入我市支出户349.79万元，拨入异地平台30.24万元，垫付其他旗县-17.21元）。累计结余320.97万元（含暂付异地平台75.87万元，专户实际结余245.10万元）。</w:t>
      </w:r>
    </w:p>
    <w:p>
      <w:pPr>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（四）离休干部医疗保险：</w:t>
      </w:r>
      <w:r>
        <w:rPr>
          <w:rFonts w:hint="eastAsia" w:ascii="仿宋" w:hAnsi="仿宋" w:eastAsia="仿宋" w:cs="仿宋"/>
          <w:b w:val="0"/>
          <w:bCs w:val="0"/>
          <w:color w:val="auto"/>
          <w:sz w:val="32"/>
          <w:szCs w:val="32"/>
          <w:lang w:val="en-US" w:eastAsia="zh-CN"/>
        </w:rPr>
        <w:t>离休干部医疗统筹金上年结余58.19万元，财政补贴0万元，支出29.65万元，本年结余28.54万元。</w:t>
      </w:r>
    </w:p>
    <w:p>
      <w:pPr>
        <w:spacing w:line="560" w:lineRule="exact"/>
        <w:ind w:firstLine="640" w:firstLineChars="200"/>
        <w:rPr>
          <w:rFonts w:ascii="黑体" w:hAnsi="黑体" w:eastAsia="黑体" w:cs="黑体"/>
          <w:bCs/>
          <w:color w:val="auto"/>
          <w:sz w:val="32"/>
          <w:szCs w:val="32"/>
        </w:rPr>
      </w:pPr>
      <w:r>
        <w:rPr>
          <w:rFonts w:hint="eastAsia" w:ascii="黑体" w:hAnsi="黑体" w:eastAsia="黑体" w:cs="黑体"/>
          <w:bCs/>
          <w:color w:val="auto"/>
          <w:sz w:val="32"/>
          <w:szCs w:val="32"/>
          <w:lang w:val="en-US" w:eastAsia="zh-CN"/>
        </w:rPr>
        <w:t>三</w:t>
      </w:r>
      <w:r>
        <w:rPr>
          <w:rFonts w:hint="eastAsia" w:ascii="黑体" w:hAnsi="黑体" w:eastAsia="黑体" w:cs="黑体"/>
          <w:bCs/>
          <w:color w:val="auto"/>
          <w:sz w:val="32"/>
          <w:szCs w:val="32"/>
        </w:rPr>
        <w:t>、城镇职工医保基金</w:t>
      </w:r>
    </w:p>
    <w:tbl>
      <w:tblPr>
        <w:tblStyle w:val="6"/>
        <w:tblW w:w="5000" w:type="pct"/>
        <w:tblInd w:w="0" w:type="dxa"/>
        <w:tblLayout w:type="autofit"/>
        <w:tblCellMar>
          <w:top w:w="0" w:type="dxa"/>
          <w:left w:w="108" w:type="dxa"/>
          <w:bottom w:w="0" w:type="dxa"/>
          <w:right w:w="108" w:type="dxa"/>
        </w:tblCellMar>
      </w:tblPr>
      <w:tblGrid>
        <w:gridCol w:w="409"/>
        <w:gridCol w:w="604"/>
        <w:gridCol w:w="896"/>
        <w:gridCol w:w="896"/>
        <w:gridCol w:w="896"/>
        <w:gridCol w:w="799"/>
        <w:gridCol w:w="799"/>
        <w:gridCol w:w="799"/>
        <w:gridCol w:w="896"/>
        <w:gridCol w:w="799"/>
        <w:gridCol w:w="604"/>
        <w:gridCol w:w="799"/>
      </w:tblGrid>
      <w:tr>
        <w:tblPrEx>
          <w:tblCellMar>
            <w:top w:w="0" w:type="dxa"/>
            <w:left w:w="108" w:type="dxa"/>
            <w:bottom w:w="0" w:type="dxa"/>
            <w:right w:w="108" w:type="dxa"/>
          </w:tblCellMar>
        </w:tblPrEx>
        <w:trPr>
          <w:trHeight w:val="684" w:hRule="atLeast"/>
        </w:trPr>
        <w:tc>
          <w:tcPr>
            <w:tcW w:w="5000" w:type="pct"/>
            <w:gridSpan w:val="12"/>
            <w:tcBorders>
              <w:top w:val="nil"/>
              <w:left w:val="nil"/>
              <w:bottom w:val="nil"/>
              <w:right w:val="nil"/>
            </w:tcBorders>
            <w:shd w:val="clear" w:color="auto" w:fill="FFFFFF"/>
            <w:vAlign w:val="center"/>
          </w:tcPr>
          <w:p>
            <w:pPr>
              <w:widowControl/>
              <w:jc w:val="center"/>
              <w:textAlignment w:val="center"/>
              <w:rPr>
                <w:rFonts w:ascii="宋体" w:hAnsi="宋体" w:eastAsia="宋体" w:cs="宋体"/>
                <w:color w:val="auto"/>
                <w:sz w:val="48"/>
                <w:szCs w:val="48"/>
              </w:rPr>
            </w:pPr>
            <w:r>
              <w:rPr>
                <w:rStyle w:val="8"/>
                <w:rFonts w:hint="default"/>
                <w:color w:val="auto"/>
              </w:rPr>
              <w:t>城镇职工医保基金支出分析</w:t>
            </w:r>
          </w:p>
        </w:tc>
      </w:tr>
      <w:tr>
        <w:tblPrEx>
          <w:tblCellMar>
            <w:top w:w="0" w:type="dxa"/>
            <w:left w:w="108" w:type="dxa"/>
            <w:bottom w:w="0" w:type="dxa"/>
            <w:right w:w="108" w:type="dxa"/>
          </w:tblCellMar>
        </w:tblPrEx>
        <w:trPr>
          <w:trHeight w:val="345" w:hRule="atLeast"/>
        </w:trPr>
        <w:tc>
          <w:tcPr>
            <w:tcW w:w="436" w:type="pct"/>
            <w:tcBorders>
              <w:top w:val="nil"/>
              <w:left w:val="nil"/>
              <w:bottom w:val="single" w:color="000000" w:sz="8" w:space="0"/>
              <w:right w:val="nil"/>
            </w:tcBorders>
            <w:shd w:val="clear" w:color="auto" w:fill="FFFFFF"/>
            <w:vAlign w:val="center"/>
          </w:tcPr>
          <w:p>
            <w:pPr>
              <w:jc w:val="center"/>
              <w:rPr>
                <w:rFonts w:ascii="宋体" w:hAnsi="宋体" w:eastAsia="宋体" w:cs="宋体"/>
                <w:color w:val="auto"/>
                <w:sz w:val="20"/>
                <w:szCs w:val="20"/>
              </w:rPr>
            </w:pPr>
          </w:p>
        </w:tc>
        <w:tc>
          <w:tcPr>
            <w:tcW w:w="336" w:type="pct"/>
            <w:tcBorders>
              <w:top w:val="nil"/>
              <w:left w:val="nil"/>
              <w:bottom w:val="single" w:color="000000" w:sz="8" w:space="0"/>
              <w:right w:val="nil"/>
            </w:tcBorders>
            <w:shd w:val="clear" w:color="auto" w:fill="FFFFFF"/>
            <w:vAlign w:val="center"/>
          </w:tcPr>
          <w:p>
            <w:pPr>
              <w:jc w:val="center"/>
              <w:rPr>
                <w:rFonts w:ascii="宋体" w:hAnsi="宋体" w:eastAsia="宋体" w:cs="宋体"/>
                <w:color w:val="auto"/>
                <w:sz w:val="20"/>
                <w:szCs w:val="20"/>
              </w:rPr>
            </w:pPr>
          </w:p>
        </w:tc>
        <w:tc>
          <w:tcPr>
            <w:tcW w:w="465" w:type="pct"/>
            <w:tcBorders>
              <w:top w:val="nil"/>
              <w:left w:val="nil"/>
              <w:bottom w:val="single" w:color="000000" w:sz="8" w:space="0"/>
              <w:right w:val="nil"/>
            </w:tcBorders>
            <w:shd w:val="clear" w:color="auto" w:fill="FFFFFF"/>
            <w:vAlign w:val="center"/>
          </w:tcPr>
          <w:p>
            <w:pPr>
              <w:jc w:val="center"/>
              <w:rPr>
                <w:rFonts w:ascii="宋体" w:hAnsi="宋体" w:eastAsia="宋体" w:cs="宋体"/>
                <w:color w:val="auto"/>
                <w:szCs w:val="21"/>
              </w:rPr>
            </w:pPr>
          </w:p>
        </w:tc>
        <w:tc>
          <w:tcPr>
            <w:tcW w:w="458" w:type="pct"/>
            <w:tcBorders>
              <w:top w:val="nil"/>
              <w:left w:val="nil"/>
              <w:bottom w:val="single" w:color="000000" w:sz="8" w:space="0"/>
              <w:right w:val="nil"/>
            </w:tcBorders>
            <w:shd w:val="clear" w:color="auto" w:fill="FFFFFF"/>
            <w:vAlign w:val="center"/>
          </w:tcPr>
          <w:p>
            <w:pPr>
              <w:jc w:val="center"/>
              <w:rPr>
                <w:rFonts w:ascii="宋体" w:hAnsi="宋体" w:eastAsia="宋体" w:cs="宋体"/>
                <w:color w:val="auto"/>
                <w:szCs w:val="21"/>
              </w:rPr>
            </w:pPr>
          </w:p>
        </w:tc>
        <w:tc>
          <w:tcPr>
            <w:tcW w:w="479" w:type="pct"/>
            <w:tcBorders>
              <w:top w:val="nil"/>
              <w:left w:val="nil"/>
              <w:bottom w:val="single" w:color="000000" w:sz="8" w:space="0"/>
              <w:right w:val="nil"/>
            </w:tcBorders>
            <w:shd w:val="clear" w:color="auto" w:fill="FFFFFF"/>
            <w:vAlign w:val="center"/>
          </w:tcPr>
          <w:p>
            <w:pPr>
              <w:jc w:val="center"/>
              <w:rPr>
                <w:rFonts w:ascii="宋体" w:hAnsi="宋体" w:eastAsia="宋体" w:cs="宋体"/>
                <w:color w:val="auto"/>
                <w:szCs w:val="21"/>
              </w:rPr>
            </w:pPr>
          </w:p>
        </w:tc>
        <w:tc>
          <w:tcPr>
            <w:tcW w:w="393" w:type="pct"/>
            <w:tcBorders>
              <w:top w:val="nil"/>
              <w:left w:val="nil"/>
              <w:bottom w:val="single" w:color="000000" w:sz="8" w:space="0"/>
              <w:right w:val="nil"/>
            </w:tcBorders>
            <w:shd w:val="clear" w:color="auto" w:fill="FFFFFF"/>
            <w:vAlign w:val="center"/>
          </w:tcPr>
          <w:p>
            <w:pPr>
              <w:jc w:val="center"/>
              <w:rPr>
                <w:rFonts w:ascii="宋体" w:hAnsi="宋体" w:eastAsia="宋体" w:cs="宋体"/>
                <w:color w:val="auto"/>
                <w:szCs w:val="21"/>
              </w:rPr>
            </w:pPr>
          </w:p>
        </w:tc>
        <w:tc>
          <w:tcPr>
            <w:tcW w:w="393" w:type="pct"/>
            <w:tcBorders>
              <w:top w:val="nil"/>
              <w:left w:val="nil"/>
              <w:bottom w:val="single" w:color="000000" w:sz="8" w:space="0"/>
              <w:right w:val="nil"/>
            </w:tcBorders>
            <w:shd w:val="clear" w:color="auto" w:fill="FFFFFF"/>
            <w:vAlign w:val="center"/>
          </w:tcPr>
          <w:p>
            <w:pPr>
              <w:jc w:val="center"/>
              <w:rPr>
                <w:rFonts w:ascii="宋体" w:hAnsi="宋体" w:eastAsia="宋体" w:cs="宋体"/>
                <w:color w:val="auto"/>
                <w:szCs w:val="21"/>
              </w:rPr>
            </w:pPr>
          </w:p>
        </w:tc>
        <w:tc>
          <w:tcPr>
            <w:tcW w:w="422" w:type="pct"/>
            <w:tcBorders>
              <w:top w:val="nil"/>
              <w:left w:val="nil"/>
              <w:bottom w:val="single" w:color="000000" w:sz="8" w:space="0"/>
              <w:right w:val="nil"/>
            </w:tcBorders>
            <w:shd w:val="clear" w:color="auto" w:fill="FFFFFF"/>
            <w:vAlign w:val="center"/>
          </w:tcPr>
          <w:p>
            <w:pPr>
              <w:jc w:val="center"/>
              <w:rPr>
                <w:rFonts w:ascii="宋体" w:hAnsi="宋体" w:eastAsia="宋体" w:cs="宋体"/>
                <w:color w:val="auto"/>
                <w:szCs w:val="21"/>
              </w:rPr>
            </w:pPr>
          </w:p>
        </w:tc>
        <w:tc>
          <w:tcPr>
            <w:tcW w:w="494" w:type="pct"/>
            <w:tcBorders>
              <w:top w:val="nil"/>
              <w:left w:val="nil"/>
              <w:bottom w:val="single" w:color="000000" w:sz="8" w:space="0"/>
              <w:right w:val="nil"/>
            </w:tcBorders>
            <w:shd w:val="clear" w:color="auto" w:fill="FFFFFF"/>
            <w:vAlign w:val="center"/>
          </w:tcPr>
          <w:p>
            <w:pPr>
              <w:jc w:val="center"/>
              <w:rPr>
                <w:rFonts w:ascii="宋体" w:hAnsi="宋体" w:eastAsia="宋体" w:cs="宋体"/>
                <w:color w:val="auto"/>
                <w:szCs w:val="21"/>
              </w:rPr>
            </w:pPr>
          </w:p>
        </w:tc>
        <w:tc>
          <w:tcPr>
            <w:tcW w:w="1119" w:type="pct"/>
            <w:gridSpan w:val="3"/>
            <w:tcBorders>
              <w:top w:val="nil"/>
              <w:left w:val="nil"/>
              <w:bottom w:val="single" w:color="000000" w:sz="8" w:space="0"/>
              <w:right w:val="nil"/>
            </w:tcBorders>
            <w:shd w:val="clear" w:color="auto" w:fill="FFFFFF"/>
            <w:vAlign w:val="center"/>
          </w:tcPr>
          <w:p>
            <w:pPr>
              <w:widowControl/>
              <w:jc w:val="center"/>
              <w:textAlignment w:val="center"/>
              <w:rPr>
                <w:rFonts w:ascii="宋体" w:hAnsi="宋体" w:eastAsia="宋体" w:cs="宋体"/>
                <w:color w:val="auto"/>
                <w:szCs w:val="21"/>
              </w:rPr>
            </w:pPr>
            <w:r>
              <w:rPr>
                <w:rStyle w:val="9"/>
                <w:rFonts w:hint="default"/>
                <w:color w:val="auto"/>
              </w:rPr>
              <w:t xml:space="preserve">      单位：万元</w:t>
            </w:r>
          </w:p>
        </w:tc>
      </w:tr>
      <w:tr>
        <w:tblPrEx>
          <w:tblCellMar>
            <w:top w:w="0" w:type="dxa"/>
            <w:left w:w="108" w:type="dxa"/>
            <w:bottom w:w="0" w:type="dxa"/>
            <w:right w:w="108" w:type="dxa"/>
          </w:tblCellMar>
        </w:tblPrEx>
        <w:trPr>
          <w:trHeight w:val="345" w:hRule="atLeast"/>
        </w:trPr>
        <w:tc>
          <w:tcPr>
            <w:tcW w:w="436" w:type="pct"/>
            <w:vMerge w:val="restart"/>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auto"/>
                <w:sz w:val="20"/>
                <w:szCs w:val="20"/>
              </w:rPr>
            </w:pPr>
            <w:r>
              <w:rPr>
                <w:rStyle w:val="10"/>
                <w:rFonts w:hint="default"/>
                <w:color w:val="auto"/>
              </w:rPr>
              <w:t>医疗机构名称</w:t>
            </w:r>
          </w:p>
        </w:tc>
        <w:tc>
          <w:tcPr>
            <w:tcW w:w="336"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auto"/>
                <w:sz w:val="20"/>
                <w:szCs w:val="20"/>
              </w:rPr>
            </w:pPr>
            <w:r>
              <w:rPr>
                <w:rStyle w:val="10"/>
                <w:rFonts w:hint="default"/>
                <w:color w:val="auto"/>
              </w:rPr>
              <w:t>统计时间</w:t>
            </w:r>
          </w:p>
        </w:tc>
        <w:tc>
          <w:tcPr>
            <w:tcW w:w="1796" w:type="pct"/>
            <w:gridSpan w:val="4"/>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auto"/>
                <w:szCs w:val="21"/>
              </w:rPr>
            </w:pPr>
            <w:r>
              <w:rPr>
                <w:rStyle w:val="9"/>
                <w:rFonts w:hint="default"/>
                <w:color w:val="auto"/>
              </w:rPr>
              <w:t>住院</w:t>
            </w:r>
          </w:p>
        </w:tc>
        <w:tc>
          <w:tcPr>
            <w:tcW w:w="1711" w:type="pct"/>
            <w:gridSpan w:val="4"/>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auto"/>
                <w:szCs w:val="21"/>
              </w:rPr>
            </w:pPr>
            <w:r>
              <w:rPr>
                <w:rStyle w:val="9"/>
                <w:rFonts w:hint="default"/>
                <w:color w:val="auto"/>
              </w:rPr>
              <w:t>门诊特慢病</w:t>
            </w:r>
          </w:p>
        </w:tc>
        <w:tc>
          <w:tcPr>
            <w:tcW w:w="718" w:type="pct"/>
            <w:gridSpan w:val="2"/>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auto"/>
                <w:szCs w:val="21"/>
              </w:rPr>
            </w:pPr>
            <w:r>
              <w:rPr>
                <w:rStyle w:val="9"/>
                <w:rFonts w:hint="default"/>
                <w:color w:val="auto"/>
              </w:rPr>
              <w:t>职工门诊统筹</w:t>
            </w:r>
          </w:p>
        </w:tc>
      </w:tr>
      <w:tr>
        <w:tblPrEx>
          <w:tblCellMar>
            <w:top w:w="0" w:type="dxa"/>
            <w:left w:w="108" w:type="dxa"/>
            <w:bottom w:w="0" w:type="dxa"/>
            <w:right w:w="108" w:type="dxa"/>
          </w:tblCellMar>
        </w:tblPrEx>
        <w:trPr>
          <w:trHeight w:val="1128" w:hRule="atLeast"/>
        </w:trPr>
        <w:tc>
          <w:tcPr>
            <w:tcW w:w="436" w:type="pct"/>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ascii="宋体" w:hAnsi="宋体" w:eastAsia="宋体" w:cs="宋体"/>
                <w:color w:val="auto"/>
                <w:sz w:val="20"/>
                <w:szCs w:val="20"/>
              </w:rPr>
            </w:pPr>
          </w:p>
        </w:tc>
        <w:tc>
          <w:tcPr>
            <w:tcW w:w="336"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二季度</w:t>
            </w:r>
          </w:p>
        </w:tc>
        <w:tc>
          <w:tcPr>
            <w:tcW w:w="465"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人次</w:t>
            </w:r>
          </w:p>
        </w:tc>
        <w:tc>
          <w:tcPr>
            <w:tcW w:w="458"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医疗费总额</w:t>
            </w:r>
          </w:p>
        </w:tc>
        <w:tc>
          <w:tcPr>
            <w:tcW w:w="479"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统筹基金支付金额</w:t>
            </w:r>
          </w:p>
        </w:tc>
        <w:tc>
          <w:tcPr>
            <w:tcW w:w="393"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次均</w:t>
            </w:r>
          </w:p>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费用</w:t>
            </w:r>
          </w:p>
        </w:tc>
        <w:tc>
          <w:tcPr>
            <w:tcW w:w="393"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人次</w:t>
            </w:r>
          </w:p>
        </w:tc>
        <w:tc>
          <w:tcPr>
            <w:tcW w:w="422"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医疗费总额</w:t>
            </w:r>
          </w:p>
        </w:tc>
        <w:tc>
          <w:tcPr>
            <w:tcW w:w="494"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统筹基金支付金额</w:t>
            </w:r>
          </w:p>
        </w:tc>
        <w:tc>
          <w:tcPr>
            <w:tcW w:w="401"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次均</w:t>
            </w:r>
          </w:p>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费用</w:t>
            </w:r>
          </w:p>
        </w:tc>
        <w:tc>
          <w:tcPr>
            <w:tcW w:w="321" w:type="pct"/>
            <w:tcBorders>
              <w:top w:val="single" w:color="000000" w:sz="8" w:space="0"/>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计入统筹报销人次</w:t>
            </w:r>
          </w:p>
        </w:tc>
        <w:tc>
          <w:tcPr>
            <w:tcW w:w="396" w:type="pct"/>
            <w:tcBorders>
              <w:top w:val="single" w:color="000000" w:sz="8" w:space="0"/>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统筹基金支付金额</w:t>
            </w:r>
          </w:p>
        </w:tc>
      </w:tr>
      <w:tr>
        <w:tblPrEx>
          <w:tblCellMar>
            <w:top w:w="0" w:type="dxa"/>
            <w:left w:w="108" w:type="dxa"/>
            <w:bottom w:w="0" w:type="dxa"/>
            <w:right w:w="108" w:type="dxa"/>
          </w:tblCellMar>
        </w:tblPrEx>
        <w:trPr>
          <w:trHeight w:val="345" w:hRule="atLeast"/>
        </w:trPr>
        <w:tc>
          <w:tcPr>
            <w:tcW w:w="436" w:type="pct"/>
            <w:vMerge w:val="restart"/>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auto"/>
                <w:sz w:val="20"/>
                <w:szCs w:val="20"/>
              </w:rPr>
            </w:pPr>
            <w:r>
              <w:rPr>
                <w:rStyle w:val="10"/>
                <w:rFonts w:hint="default"/>
                <w:color w:val="auto"/>
              </w:rPr>
              <w:t>霍林郭勒市人民医院</w:t>
            </w:r>
          </w:p>
        </w:tc>
        <w:tc>
          <w:tcPr>
            <w:tcW w:w="336"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2022</w:t>
            </w:r>
          </w:p>
        </w:tc>
        <w:tc>
          <w:tcPr>
            <w:tcW w:w="465" w:type="pct"/>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1714</w:t>
            </w:r>
          </w:p>
        </w:tc>
        <w:tc>
          <w:tcPr>
            <w:tcW w:w="458" w:type="pct"/>
            <w:tcBorders>
              <w:top w:val="nil"/>
              <w:left w:val="nil"/>
              <w:bottom w:val="single" w:color="000000" w:sz="8" w:space="0"/>
              <w:right w:val="single" w:color="000000" w:sz="8" w:space="0"/>
            </w:tcBorders>
            <w:shd w:val="clear" w:color="auto" w:fill="FFFFFF"/>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869.54</w:t>
            </w:r>
          </w:p>
        </w:tc>
        <w:tc>
          <w:tcPr>
            <w:tcW w:w="479" w:type="pct"/>
            <w:tcBorders>
              <w:top w:val="nil"/>
              <w:left w:val="nil"/>
              <w:bottom w:val="single" w:color="000000" w:sz="8" w:space="0"/>
              <w:right w:val="single" w:color="000000" w:sz="8" w:space="0"/>
            </w:tcBorders>
            <w:shd w:val="clear" w:color="auto" w:fill="FFFFFF"/>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646.46</w:t>
            </w:r>
          </w:p>
        </w:tc>
        <w:tc>
          <w:tcPr>
            <w:tcW w:w="393" w:type="pct"/>
            <w:tcBorders>
              <w:top w:val="nil"/>
              <w:left w:val="nil"/>
              <w:bottom w:val="single" w:color="000000" w:sz="8" w:space="0"/>
              <w:right w:val="single" w:color="000000" w:sz="8" w:space="0"/>
            </w:tcBorders>
            <w:shd w:val="clear" w:color="auto" w:fill="FFFFFF"/>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0.38</w:t>
            </w:r>
          </w:p>
        </w:tc>
        <w:tc>
          <w:tcPr>
            <w:tcW w:w="393" w:type="pct"/>
            <w:tcBorders>
              <w:top w:val="nil"/>
              <w:left w:val="nil"/>
              <w:bottom w:val="single" w:color="000000" w:sz="8" w:space="0"/>
              <w:right w:val="single" w:color="000000" w:sz="8" w:space="0"/>
            </w:tcBorders>
            <w:shd w:val="clear" w:color="auto" w:fill="FFFFFF"/>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8390</w:t>
            </w:r>
          </w:p>
        </w:tc>
        <w:tc>
          <w:tcPr>
            <w:tcW w:w="422" w:type="pct"/>
            <w:tcBorders>
              <w:top w:val="nil"/>
              <w:left w:val="nil"/>
              <w:bottom w:val="single" w:color="000000" w:sz="8" w:space="0"/>
              <w:right w:val="single" w:color="000000" w:sz="8" w:space="0"/>
            </w:tcBorders>
            <w:shd w:val="clear" w:color="auto" w:fill="FFFFFF"/>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371.87</w:t>
            </w:r>
          </w:p>
        </w:tc>
        <w:tc>
          <w:tcPr>
            <w:tcW w:w="494" w:type="pct"/>
            <w:tcBorders>
              <w:top w:val="nil"/>
              <w:left w:val="nil"/>
              <w:bottom w:val="single" w:color="000000" w:sz="8" w:space="0"/>
              <w:right w:val="single" w:color="000000" w:sz="8" w:space="0"/>
            </w:tcBorders>
            <w:shd w:val="clear" w:color="auto" w:fill="FFFFFF"/>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280.74</w:t>
            </w:r>
          </w:p>
        </w:tc>
        <w:tc>
          <w:tcPr>
            <w:tcW w:w="401" w:type="pct"/>
            <w:tcBorders>
              <w:top w:val="nil"/>
              <w:left w:val="nil"/>
              <w:bottom w:val="single" w:color="000000" w:sz="8" w:space="0"/>
              <w:right w:val="single" w:color="000000" w:sz="8" w:space="0"/>
            </w:tcBorders>
            <w:shd w:val="clear" w:color="auto" w:fill="FFFFFF"/>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0.03</w:t>
            </w:r>
          </w:p>
        </w:tc>
        <w:tc>
          <w:tcPr>
            <w:tcW w:w="321" w:type="pct"/>
            <w:tcBorders>
              <w:top w:val="nil"/>
              <w:left w:val="nil"/>
              <w:bottom w:val="single" w:color="000000" w:sz="8" w:space="0"/>
              <w:right w:val="single" w:color="000000" w:sz="8" w:space="0"/>
            </w:tcBorders>
            <w:shd w:val="clear" w:color="auto" w:fill="FFFFFF"/>
            <w:noWrap/>
            <w:vAlign w:val="center"/>
          </w:tcPr>
          <w:p>
            <w:pPr>
              <w:jc w:val="center"/>
              <w:rPr>
                <w:rFonts w:ascii="宋体" w:hAnsi="宋体" w:eastAsia="宋体" w:cs="宋体"/>
                <w:color w:val="auto"/>
                <w:sz w:val="20"/>
                <w:szCs w:val="20"/>
              </w:rPr>
            </w:pPr>
          </w:p>
        </w:tc>
        <w:tc>
          <w:tcPr>
            <w:tcW w:w="396" w:type="pct"/>
            <w:tcBorders>
              <w:top w:val="nil"/>
              <w:left w:val="nil"/>
              <w:bottom w:val="single" w:color="000000" w:sz="8" w:space="0"/>
              <w:right w:val="single" w:color="000000" w:sz="8" w:space="0"/>
            </w:tcBorders>
            <w:shd w:val="clear" w:color="auto" w:fill="FFFFFF"/>
            <w:noWrap/>
            <w:vAlign w:val="center"/>
          </w:tcPr>
          <w:p>
            <w:pPr>
              <w:jc w:val="center"/>
              <w:rPr>
                <w:rFonts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trPr>
        <w:tc>
          <w:tcPr>
            <w:tcW w:w="436" w:type="pct"/>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ascii="宋体" w:hAnsi="宋体" w:eastAsia="宋体" w:cs="宋体"/>
                <w:color w:val="auto"/>
                <w:sz w:val="20"/>
                <w:szCs w:val="20"/>
              </w:rPr>
            </w:pPr>
          </w:p>
        </w:tc>
        <w:tc>
          <w:tcPr>
            <w:tcW w:w="336"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2023</w:t>
            </w:r>
          </w:p>
        </w:tc>
        <w:tc>
          <w:tcPr>
            <w:tcW w:w="465" w:type="pct"/>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1802</w:t>
            </w:r>
          </w:p>
        </w:tc>
        <w:tc>
          <w:tcPr>
            <w:tcW w:w="458" w:type="pct"/>
            <w:tcBorders>
              <w:top w:val="nil"/>
              <w:left w:val="nil"/>
              <w:bottom w:val="single" w:color="000000" w:sz="8" w:space="0"/>
              <w:right w:val="single" w:color="000000" w:sz="8" w:space="0"/>
            </w:tcBorders>
            <w:shd w:val="clear" w:color="auto" w:fill="FFFFFF"/>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859.55</w:t>
            </w:r>
          </w:p>
        </w:tc>
        <w:tc>
          <w:tcPr>
            <w:tcW w:w="479" w:type="pct"/>
            <w:tcBorders>
              <w:top w:val="nil"/>
              <w:left w:val="nil"/>
              <w:bottom w:val="single" w:color="000000" w:sz="8" w:space="0"/>
              <w:right w:val="single" w:color="000000" w:sz="8" w:space="0"/>
            </w:tcBorders>
            <w:shd w:val="clear" w:color="auto" w:fill="FFFFFF"/>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646.43</w:t>
            </w:r>
          </w:p>
        </w:tc>
        <w:tc>
          <w:tcPr>
            <w:tcW w:w="393" w:type="pct"/>
            <w:tcBorders>
              <w:top w:val="nil"/>
              <w:left w:val="nil"/>
              <w:bottom w:val="single" w:color="000000" w:sz="8" w:space="0"/>
              <w:right w:val="single" w:color="000000" w:sz="8" w:space="0"/>
            </w:tcBorders>
            <w:shd w:val="clear" w:color="auto" w:fill="FFFFFF"/>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0.36</w:t>
            </w:r>
          </w:p>
        </w:tc>
        <w:tc>
          <w:tcPr>
            <w:tcW w:w="393" w:type="pct"/>
            <w:tcBorders>
              <w:top w:val="nil"/>
              <w:left w:val="nil"/>
              <w:bottom w:val="single" w:color="000000" w:sz="8" w:space="0"/>
              <w:right w:val="single" w:color="000000" w:sz="8" w:space="0"/>
            </w:tcBorders>
            <w:shd w:val="clear" w:color="auto" w:fill="FFFFFF"/>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8504</w:t>
            </w:r>
          </w:p>
        </w:tc>
        <w:tc>
          <w:tcPr>
            <w:tcW w:w="422" w:type="pct"/>
            <w:tcBorders>
              <w:top w:val="nil"/>
              <w:left w:val="nil"/>
              <w:bottom w:val="single" w:color="000000" w:sz="8" w:space="0"/>
              <w:right w:val="single" w:color="000000" w:sz="8" w:space="0"/>
            </w:tcBorders>
            <w:shd w:val="clear" w:color="auto" w:fill="FFFFFF"/>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319.16</w:t>
            </w:r>
          </w:p>
        </w:tc>
        <w:tc>
          <w:tcPr>
            <w:tcW w:w="494" w:type="pct"/>
            <w:tcBorders>
              <w:top w:val="nil"/>
              <w:left w:val="nil"/>
              <w:bottom w:val="single" w:color="000000" w:sz="8" w:space="0"/>
              <w:right w:val="single" w:color="000000" w:sz="8" w:space="0"/>
            </w:tcBorders>
            <w:shd w:val="clear" w:color="auto" w:fill="FFFFFF"/>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240.25</w:t>
            </w:r>
          </w:p>
        </w:tc>
        <w:tc>
          <w:tcPr>
            <w:tcW w:w="401" w:type="pct"/>
            <w:tcBorders>
              <w:top w:val="nil"/>
              <w:left w:val="nil"/>
              <w:bottom w:val="single" w:color="000000" w:sz="8" w:space="0"/>
              <w:right w:val="single" w:color="000000" w:sz="8" w:space="0"/>
            </w:tcBorders>
            <w:shd w:val="clear" w:color="auto" w:fill="FFFFFF"/>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0.03</w:t>
            </w:r>
          </w:p>
        </w:tc>
        <w:tc>
          <w:tcPr>
            <w:tcW w:w="321" w:type="pct"/>
            <w:tcBorders>
              <w:top w:val="nil"/>
              <w:left w:val="nil"/>
              <w:bottom w:val="single" w:color="000000" w:sz="8" w:space="0"/>
              <w:right w:val="single" w:color="000000" w:sz="8" w:space="0"/>
            </w:tcBorders>
            <w:shd w:val="clear" w:color="auto" w:fill="FFFFFF"/>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3898</w:t>
            </w:r>
          </w:p>
        </w:tc>
        <w:tc>
          <w:tcPr>
            <w:tcW w:w="396" w:type="pct"/>
            <w:tcBorders>
              <w:top w:val="nil"/>
              <w:left w:val="nil"/>
              <w:bottom w:val="single" w:color="000000" w:sz="8" w:space="0"/>
              <w:right w:val="single" w:color="000000" w:sz="8" w:space="0"/>
            </w:tcBorders>
            <w:shd w:val="clear" w:color="auto" w:fill="FFFFFF"/>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57.62</w:t>
            </w:r>
          </w:p>
        </w:tc>
      </w:tr>
      <w:tr>
        <w:tblPrEx>
          <w:tblCellMar>
            <w:top w:w="0" w:type="dxa"/>
            <w:left w:w="108" w:type="dxa"/>
            <w:bottom w:w="0" w:type="dxa"/>
            <w:right w:w="108" w:type="dxa"/>
          </w:tblCellMar>
        </w:tblPrEx>
        <w:trPr>
          <w:trHeight w:val="663" w:hRule="atLeast"/>
        </w:trPr>
        <w:tc>
          <w:tcPr>
            <w:tcW w:w="436" w:type="pct"/>
            <w:vMerge w:val="continue"/>
            <w:tcBorders>
              <w:top w:val="nil"/>
              <w:left w:val="single" w:color="000000" w:sz="8" w:space="0"/>
              <w:bottom w:val="single" w:color="auto" w:sz="4" w:space="0"/>
              <w:right w:val="single" w:color="000000" w:sz="8" w:space="0"/>
            </w:tcBorders>
            <w:shd w:val="clear" w:color="auto" w:fill="FFFFFF"/>
            <w:vAlign w:val="center"/>
          </w:tcPr>
          <w:p>
            <w:pPr>
              <w:jc w:val="center"/>
              <w:rPr>
                <w:rFonts w:ascii="宋体" w:hAnsi="宋体" w:eastAsia="宋体" w:cs="宋体"/>
                <w:color w:val="auto"/>
                <w:sz w:val="20"/>
                <w:szCs w:val="20"/>
              </w:rPr>
            </w:pPr>
          </w:p>
        </w:tc>
        <w:tc>
          <w:tcPr>
            <w:tcW w:w="336" w:type="pct"/>
            <w:tcBorders>
              <w:top w:val="nil"/>
              <w:left w:val="nil"/>
              <w:bottom w:val="single" w:color="auto" w:sz="4" w:space="0"/>
              <w:right w:val="nil"/>
            </w:tcBorders>
            <w:shd w:val="clear" w:color="auto" w:fill="FFFFFF"/>
            <w:vAlign w:val="center"/>
          </w:tcPr>
          <w:p>
            <w:pPr>
              <w:widowControl/>
              <w:jc w:val="center"/>
              <w:textAlignment w:val="center"/>
              <w:rPr>
                <w:rFonts w:ascii="宋体" w:hAnsi="宋体" w:eastAsia="宋体" w:cs="宋体"/>
                <w:color w:val="auto"/>
                <w:sz w:val="20"/>
                <w:szCs w:val="20"/>
              </w:rPr>
            </w:pPr>
            <w:r>
              <w:rPr>
                <w:rStyle w:val="10"/>
                <w:rFonts w:hint="default"/>
                <w:color w:val="auto"/>
              </w:rPr>
              <w:t>增减幅度</w:t>
            </w:r>
          </w:p>
        </w:tc>
        <w:tc>
          <w:tcPr>
            <w:tcW w:w="465" w:type="pct"/>
            <w:tcBorders>
              <w:top w:val="nil"/>
              <w:left w:val="single" w:color="000000" w:sz="8" w:space="0"/>
              <w:bottom w:val="single" w:color="auto" w:sz="4" w:space="0"/>
              <w:right w:val="single" w:color="000000" w:sz="8" w:space="0"/>
            </w:tcBorders>
            <w:shd w:val="clear" w:color="auto" w:fill="FFFFFF"/>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5.1%</w:t>
            </w:r>
          </w:p>
        </w:tc>
        <w:tc>
          <w:tcPr>
            <w:tcW w:w="458" w:type="pct"/>
            <w:tcBorders>
              <w:top w:val="nil"/>
              <w:left w:val="nil"/>
              <w:bottom w:val="single" w:color="auto" w:sz="4" w:space="0"/>
              <w:right w:val="single" w:color="000000" w:sz="8" w:space="0"/>
            </w:tcBorders>
            <w:shd w:val="clear" w:color="auto" w:fill="FFFFFF"/>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-1.1%</w:t>
            </w:r>
          </w:p>
        </w:tc>
        <w:tc>
          <w:tcPr>
            <w:tcW w:w="479" w:type="pct"/>
            <w:tcBorders>
              <w:top w:val="nil"/>
              <w:left w:val="nil"/>
              <w:bottom w:val="single" w:color="auto" w:sz="4" w:space="0"/>
              <w:right w:val="single" w:color="000000" w:sz="8" w:space="0"/>
            </w:tcBorders>
            <w:shd w:val="clear" w:color="auto" w:fill="FFFFFF"/>
            <w:noWrap/>
            <w:vAlign w:val="center"/>
          </w:tcPr>
          <w:p>
            <w:pPr>
              <w:jc w:val="center"/>
              <w:rPr>
                <w:rFonts w:hint="eastAsia" w:ascii="宋体" w:hAnsi="宋体" w:eastAsia="宋体" w:cs="宋体"/>
                <w:color w:val="auto"/>
                <w:sz w:val="20"/>
                <w:szCs w:val="20"/>
                <w:lang w:val="en-US" w:eastAsia="zh-CN"/>
              </w:rPr>
            </w:pPr>
          </w:p>
        </w:tc>
        <w:tc>
          <w:tcPr>
            <w:tcW w:w="393" w:type="pct"/>
            <w:tcBorders>
              <w:top w:val="nil"/>
              <w:left w:val="nil"/>
              <w:bottom w:val="single" w:color="auto" w:sz="4" w:space="0"/>
              <w:right w:val="single" w:color="000000" w:sz="8" w:space="0"/>
            </w:tcBorders>
            <w:shd w:val="clear" w:color="auto" w:fill="FFFFFF"/>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-5.3%</w:t>
            </w:r>
          </w:p>
        </w:tc>
        <w:tc>
          <w:tcPr>
            <w:tcW w:w="393" w:type="pct"/>
            <w:tcBorders>
              <w:top w:val="nil"/>
              <w:left w:val="nil"/>
              <w:bottom w:val="single" w:color="auto" w:sz="4" w:space="0"/>
              <w:right w:val="single" w:color="000000" w:sz="8" w:space="0"/>
            </w:tcBorders>
            <w:shd w:val="clear" w:color="auto" w:fill="FFFFFF"/>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1.36%</w:t>
            </w:r>
          </w:p>
        </w:tc>
        <w:tc>
          <w:tcPr>
            <w:tcW w:w="422" w:type="pct"/>
            <w:tcBorders>
              <w:top w:val="nil"/>
              <w:left w:val="nil"/>
              <w:bottom w:val="single" w:color="auto" w:sz="4" w:space="0"/>
              <w:right w:val="single" w:color="000000" w:sz="8" w:space="0"/>
            </w:tcBorders>
            <w:shd w:val="clear" w:color="auto" w:fill="FFFFFF"/>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-14.2%</w:t>
            </w:r>
          </w:p>
        </w:tc>
        <w:tc>
          <w:tcPr>
            <w:tcW w:w="494" w:type="pct"/>
            <w:tcBorders>
              <w:top w:val="nil"/>
              <w:left w:val="nil"/>
              <w:bottom w:val="single" w:color="auto" w:sz="4" w:space="0"/>
              <w:right w:val="single" w:color="000000" w:sz="8" w:space="0"/>
            </w:tcBorders>
            <w:shd w:val="clear" w:color="auto" w:fill="FFFFFF"/>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-14.4%</w:t>
            </w:r>
          </w:p>
        </w:tc>
        <w:tc>
          <w:tcPr>
            <w:tcW w:w="401" w:type="pct"/>
            <w:tcBorders>
              <w:top w:val="nil"/>
              <w:left w:val="nil"/>
              <w:bottom w:val="single" w:color="auto" w:sz="4" w:space="0"/>
              <w:right w:val="single" w:color="000000" w:sz="8" w:space="0"/>
            </w:tcBorders>
            <w:shd w:val="clear" w:color="auto" w:fill="FFFFFF"/>
            <w:noWrap/>
            <w:vAlign w:val="center"/>
          </w:tcPr>
          <w:p>
            <w:pPr>
              <w:jc w:val="center"/>
              <w:rPr>
                <w:rFonts w:ascii="宋体" w:hAnsi="宋体" w:eastAsia="宋体" w:cs="宋体"/>
                <w:color w:val="auto"/>
                <w:sz w:val="20"/>
                <w:szCs w:val="20"/>
              </w:rPr>
            </w:pPr>
          </w:p>
        </w:tc>
        <w:tc>
          <w:tcPr>
            <w:tcW w:w="321" w:type="pct"/>
            <w:tcBorders>
              <w:top w:val="nil"/>
              <w:left w:val="nil"/>
              <w:bottom w:val="single" w:color="auto" w:sz="4" w:space="0"/>
              <w:right w:val="single" w:color="000000" w:sz="8" w:space="0"/>
            </w:tcBorders>
            <w:shd w:val="clear" w:color="auto" w:fill="FFFFFF"/>
            <w:noWrap/>
            <w:vAlign w:val="center"/>
          </w:tcPr>
          <w:p>
            <w:pPr>
              <w:jc w:val="center"/>
              <w:rPr>
                <w:rFonts w:ascii="宋体" w:hAnsi="宋体" w:eastAsia="宋体" w:cs="宋体"/>
                <w:color w:val="auto"/>
                <w:sz w:val="20"/>
                <w:szCs w:val="20"/>
              </w:rPr>
            </w:pPr>
          </w:p>
        </w:tc>
        <w:tc>
          <w:tcPr>
            <w:tcW w:w="396" w:type="pct"/>
            <w:tcBorders>
              <w:top w:val="nil"/>
              <w:left w:val="nil"/>
              <w:bottom w:val="single" w:color="auto" w:sz="4" w:space="0"/>
              <w:right w:val="single" w:color="000000" w:sz="8" w:space="0"/>
            </w:tcBorders>
            <w:shd w:val="clear" w:color="auto" w:fill="FFFFFF"/>
            <w:noWrap/>
            <w:vAlign w:val="center"/>
          </w:tcPr>
          <w:p>
            <w:pPr>
              <w:jc w:val="center"/>
              <w:rPr>
                <w:rFonts w:ascii="宋体" w:hAnsi="宋体" w:eastAsia="宋体" w:cs="宋体"/>
                <w:color w:val="auto"/>
                <w:sz w:val="20"/>
                <w:szCs w:val="20"/>
              </w:rPr>
            </w:pPr>
          </w:p>
        </w:tc>
      </w:tr>
      <w:tr>
        <w:tblPrEx>
          <w:tblCellMar>
            <w:top w:w="0" w:type="dxa"/>
            <w:left w:w="108" w:type="dxa"/>
            <w:bottom w:w="0" w:type="dxa"/>
            <w:right w:w="108" w:type="dxa"/>
          </w:tblCellMar>
        </w:tblPrEx>
        <w:trPr>
          <w:trHeight w:val="345" w:hRule="atLeast"/>
        </w:trPr>
        <w:tc>
          <w:tcPr>
            <w:tcW w:w="436" w:type="pct"/>
            <w:vMerge w:val="restart"/>
            <w:tcBorders>
              <w:top w:val="single" w:color="auto" w:sz="4" w:space="0"/>
              <w:left w:val="single" w:color="auto" w:sz="4" w:space="0"/>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auto"/>
                <w:sz w:val="20"/>
                <w:szCs w:val="20"/>
              </w:rPr>
            </w:pPr>
            <w:r>
              <w:rPr>
                <w:rStyle w:val="10"/>
                <w:rFonts w:hint="default"/>
                <w:color w:val="auto"/>
              </w:rPr>
              <w:t>霍林郭勒市中蒙医医院</w:t>
            </w:r>
          </w:p>
        </w:tc>
        <w:tc>
          <w:tcPr>
            <w:tcW w:w="336" w:type="pct"/>
            <w:tcBorders>
              <w:top w:val="single" w:color="auto" w:sz="4" w:space="0"/>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2022</w:t>
            </w:r>
          </w:p>
        </w:tc>
        <w:tc>
          <w:tcPr>
            <w:tcW w:w="465" w:type="pct"/>
            <w:tcBorders>
              <w:top w:val="single" w:color="auto" w:sz="4" w:space="0"/>
              <w:left w:val="nil"/>
              <w:bottom w:val="single" w:color="000000" w:sz="8" w:space="0"/>
              <w:right w:val="single" w:color="000000" w:sz="8"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483</w:t>
            </w:r>
          </w:p>
        </w:tc>
        <w:tc>
          <w:tcPr>
            <w:tcW w:w="458" w:type="pct"/>
            <w:tcBorders>
              <w:top w:val="single" w:color="auto" w:sz="4" w:space="0"/>
              <w:left w:val="nil"/>
              <w:bottom w:val="single" w:color="000000" w:sz="8" w:space="0"/>
              <w:right w:val="single" w:color="000000" w:sz="8" w:space="0"/>
            </w:tcBorders>
            <w:shd w:val="clear" w:color="auto" w:fill="FFFFFF"/>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192.86</w:t>
            </w:r>
          </w:p>
        </w:tc>
        <w:tc>
          <w:tcPr>
            <w:tcW w:w="479" w:type="pct"/>
            <w:tcBorders>
              <w:top w:val="single" w:color="auto" w:sz="4" w:space="0"/>
              <w:left w:val="nil"/>
              <w:bottom w:val="single" w:color="000000" w:sz="8" w:space="0"/>
              <w:right w:val="single" w:color="000000" w:sz="8" w:space="0"/>
            </w:tcBorders>
            <w:shd w:val="clear" w:color="auto" w:fill="FFFFFF"/>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151.35</w:t>
            </w:r>
          </w:p>
        </w:tc>
        <w:tc>
          <w:tcPr>
            <w:tcW w:w="393" w:type="pct"/>
            <w:tcBorders>
              <w:top w:val="single" w:color="auto" w:sz="4" w:space="0"/>
              <w:left w:val="nil"/>
              <w:bottom w:val="single" w:color="000000" w:sz="8" w:space="0"/>
              <w:right w:val="single" w:color="000000" w:sz="8" w:space="0"/>
            </w:tcBorders>
            <w:shd w:val="clear" w:color="auto" w:fill="FFFFFF"/>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0.31</w:t>
            </w:r>
          </w:p>
        </w:tc>
        <w:tc>
          <w:tcPr>
            <w:tcW w:w="393" w:type="pct"/>
            <w:tcBorders>
              <w:top w:val="single" w:color="auto" w:sz="4" w:space="0"/>
              <w:left w:val="nil"/>
              <w:bottom w:val="single" w:color="000000" w:sz="8" w:space="0"/>
              <w:right w:val="single" w:color="000000" w:sz="8" w:space="0"/>
            </w:tcBorders>
            <w:shd w:val="clear" w:color="auto" w:fill="FFFFFF"/>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3383</w:t>
            </w:r>
          </w:p>
        </w:tc>
        <w:tc>
          <w:tcPr>
            <w:tcW w:w="422" w:type="pct"/>
            <w:tcBorders>
              <w:top w:val="single" w:color="auto" w:sz="4" w:space="0"/>
              <w:left w:val="nil"/>
              <w:bottom w:val="single" w:color="000000" w:sz="8" w:space="0"/>
              <w:right w:val="single" w:color="000000" w:sz="8" w:space="0"/>
            </w:tcBorders>
            <w:shd w:val="clear" w:color="auto" w:fill="FFFFFF"/>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160.81</w:t>
            </w:r>
          </w:p>
        </w:tc>
        <w:tc>
          <w:tcPr>
            <w:tcW w:w="494" w:type="pct"/>
            <w:tcBorders>
              <w:top w:val="single" w:color="auto" w:sz="4" w:space="0"/>
              <w:left w:val="nil"/>
              <w:bottom w:val="single" w:color="000000" w:sz="8" w:space="0"/>
              <w:right w:val="single" w:color="000000" w:sz="8" w:space="0"/>
            </w:tcBorders>
            <w:shd w:val="clear" w:color="auto" w:fill="FFFFFF"/>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120.22</w:t>
            </w:r>
          </w:p>
        </w:tc>
        <w:tc>
          <w:tcPr>
            <w:tcW w:w="401" w:type="pct"/>
            <w:tcBorders>
              <w:top w:val="single" w:color="auto" w:sz="4" w:space="0"/>
              <w:left w:val="nil"/>
              <w:bottom w:val="single" w:color="000000" w:sz="8" w:space="0"/>
              <w:right w:val="single" w:color="000000" w:sz="8" w:space="0"/>
            </w:tcBorders>
            <w:shd w:val="clear" w:color="auto" w:fill="FFFFFF"/>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0.04</w:t>
            </w:r>
          </w:p>
        </w:tc>
        <w:tc>
          <w:tcPr>
            <w:tcW w:w="321" w:type="pct"/>
            <w:tcBorders>
              <w:top w:val="single" w:color="auto" w:sz="4" w:space="0"/>
              <w:left w:val="nil"/>
              <w:bottom w:val="single" w:color="000000" w:sz="8" w:space="0"/>
              <w:right w:val="single" w:color="000000" w:sz="8" w:space="0"/>
            </w:tcBorders>
            <w:shd w:val="clear" w:color="auto" w:fill="FFFFFF"/>
            <w:noWrap/>
            <w:vAlign w:val="center"/>
          </w:tcPr>
          <w:p>
            <w:pPr>
              <w:jc w:val="center"/>
              <w:rPr>
                <w:rFonts w:ascii="宋体" w:hAnsi="宋体" w:eastAsia="宋体" w:cs="宋体"/>
                <w:color w:val="auto"/>
                <w:sz w:val="20"/>
                <w:szCs w:val="20"/>
              </w:rPr>
            </w:pPr>
          </w:p>
        </w:tc>
        <w:tc>
          <w:tcPr>
            <w:tcW w:w="396" w:type="pct"/>
            <w:tcBorders>
              <w:top w:val="single" w:color="auto" w:sz="4" w:space="0"/>
              <w:left w:val="nil"/>
              <w:bottom w:val="single" w:color="000000" w:sz="8" w:space="0"/>
              <w:right w:val="single" w:color="auto" w:sz="4" w:space="0"/>
            </w:tcBorders>
            <w:shd w:val="clear" w:color="auto" w:fill="FFFFFF"/>
            <w:noWrap/>
            <w:vAlign w:val="center"/>
          </w:tcPr>
          <w:p>
            <w:pPr>
              <w:jc w:val="center"/>
              <w:rPr>
                <w:rFonts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trPr>
        <w:tc>
          <w:tcPr>
            <w:tcW w:w="436" w:type="pct"/>
            <w:vMerge w:val="continue"/>
            <w:tcBorders>
              <w:top w:val="nil"/>
              <w:left w:val="single" w:color="auto" w:sz="4" w:space="0"/>
              <w:bottom w:val="single" w:color="000000" w:sz="8" w:space="0"/>
              <w:right w:val="single" w:color="000000" w:sz="8" w:space="0"/>
            </w:tcBorders>
            <w:shd w:val="clear" w:color="auto" w:fill="FFFFFF"/>
            <w:vAlign w:val="center"/>
          </w:tcPr>
          <w:p>
            <w:pPr>
              <w:jc w:val="center"/>
              <w:rPr>
                <w:rFonts w:ascii="宋体" w:hAnsi="宋体" w:eastAsia="宋体" w:cs="宋体"/>
                <w:color w:val="auto"/>
                <w:sz w:val="20"/>
                <w:szCs w:val="20"/>
              </w:rPr>
            </w:pPr>
          </w:p>
        </w:tc>
        <w:tc>
          <w:tcPr>
            <w:tcW w:w="336"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2023</w:t>
            </w:r>
          </w:p>
        </w:tc>
        <w:tc>
          <w:tcPr>
            <w:tcW w:w="465" w:type="pct"/>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456</w:t>
            </w:r>
          </w:p>
        </w:tc>
        <w:tc>
          <w:tcPr>
            <w:tcW w:w="458" w:type="pct"/>
            <w:tcBorders>
              <w:top w:val="nil"/>
              <w:left w:val="nil"/>
              <w:bottom w:val="single" w:color="000000" w:sz="8" w:space="0"/>
              <w:right w:val="single" w:color="000000" w:sz="8" w:space="0"/>
            </w:tcBorders>
            <w:shd w:val="clear" w:color="auto" w:fill="FFFFFF"/>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193.58</w:t>
            </w:r>
          </w:p>
        </w:tc>
        <w:tc>
          <w:tcPr>
            <w:tcW w:w="479" w:type="pct"/>
            <w:tcBorders>
              <w:top w:val="nil"/>
              <w:left w:val="nil"/>
              <w:bottom w:val="single" w:color="000000" w:sz="8" w:space="0"/>
              <w:right w:val="single" w:color="000000" w:sz="8" w:space="0"/>
            </w:tcBorders>
            <w:shd w:val="clear" w:color="auto" w:fill="FFFFFF"/>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158.27</w:t>
            </w:r>
          </w:p>
        </w:tc>
        <w:tc>
          <w:tcPr>
            <w:tcW w:w="393" w:type="pct"/>
            <w:tcBorders>
              <w:top w:val="nil"/>
              <w:left w:val="nil"/>
              <w:bottom w:val="single" w:color="000000" w:sz="8" w:space="0"/>
              <w:right w:val="single" w:color="000000" w:sz="8" w:space="0"/>
            </w:tcBorders>
            <w:shd w:val="clear" w:color="auto" w:fill="FFFFFF"/>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0.35</w:t>
            </w:r>
          </w:p>
        </w:tc>
        <w:tc>
          <w:tcPr>
            <w:tcW w:w="393" w:type="pct"/>
            <w:tcBorders>
              <w:top w:val="nil"/>
              <w:left w:val="nil"/>
              <w:bottom w:val="single" w:color="000000" w:sz="8" w:space="0"/>
              <w:right w:val="single" w:color="000000" w:sz="8" w:space="0"/>
            </w:tcBorders>
            <w:shd w:val="clear" w:color="auto" w:fill="FFFFFF"/>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3798</w:t>
            </w:r>
          </w:p>
        </w:tc>
        <w:tc>
          <w:tcPr>
            <w:tcW w:w="422" w:type="pct"/>
            <w:tcBorders>
              <w:top w:val="nil"/>
              <w:left w:val="nil"/>
              <w:bottom w:val="single" w:color="000000" w:sz="8" w:space="0"/>
              <w:right w:val="single" w:color="000000" w:sz="8" w:space="0"/>
            </w:tcBorders>
            <w:shd w:val="clear" w:color="auto" w:fill="FFFFFF"/>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107.26</w:t>
            </w:r>
          </w:p>
        </w:tc>
        <w:tc>
          <w:tcPr>
            <w:tcW w:w="494" w:type="pct"/>
            <w:tcBorders>
              <w:top w:val="nil"/>
              <w:left w:val="nil"/>
              <w:bottom w:val="single" w:color="000000" w:sz="8" w:space="0"/>
              <w:right w:val="single" w:color="000000" w:sz="8" w:space="0"/>
            </w:tcBorders>
            <w:shd w:val="clear" w:color="auto" w:fill="FFFFFF"/>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76.25</w:t>
            </w:r>
          </w:p>
        </w:tc>
        <w:tc>
          <w:tcPr>
            <w:tcW w:w="401" w:type="pct"/>
            <w:tcBorders>
              <w:top w:val="nil"/>
              <w:left w:val="nil"/>
              <w:bottom w:val="single" w:color="000000" w:sz="8" w:space="0"/>
              <w:right w:val="single" w:color="000000" w:sz="8" w:space="0"/>
            </w:tcBorders>
            <w:shd w:val="clear" w:color="auto" w:fill="FFFFFF"/>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0.02</w:t>
            </w:r>
          </w:p>
        </w:tc>
        <w:tc>
          <w:tcPr>
            <w:tcW w:w="321" w:type="pct"/>
            <w:tcBorders>
              <w:top w:val="nil"/>
              <w:left w:val="nil"/>
              <w:bottom w:val="single" w:color="000000" w:sz="8" w:space="0"/>
              <w:right w:val="single" w:color="000000" w:sz="8" w:space="0"/>
            </w:tcBorders>
            <w:shd w:val="clear" w:color="auto" w:fill="FFFFFF"/>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2301</w:t>
            </w:r>
          </w:p>
        </w:tc>
        <w:tc>
          <w:tcPr>
            <w:tcW w:w="396" w:type="pct"/>
            <w:tcBorders>
              <w:top w:val="nil"/>
              <w:left w:val="nil"/>
              <w:bottom w:val="single" w:color="000000" w:sz="8" w:space="0"/>
              <w:right w:val="single" w:color="auto" w:sz="4" w:space="0"/>
            </w:tcBorders>
            <w:shd w:val="clear" w:color="auto" w:fill="FFFFFF"/>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49.55</w:t>
            </w:r>
          </w:p>
        </w:tc>
      </w:tr>
      <w:tr>
        <w:tblPrEx>
          <w:tblCellMar>
            <w:top w:w="0" w:type="dxa"/>
            <w:left w:w="108" w:type="dxa"/>
            <w:bottom w:w="0" w:type="dxa"/>
            <w:right w:w="108" w:type="dxa"/>
          </w:tblCellMar>
        </w:tblPrEx>
        <w:trPr>
          <w:trHeight w:val="1869" w:hRule="atLeast"/>
        </w:trPr>
        <w:tc>
          <w:tcPr>
            <w:tcW w:w="436" w:type="pct"/>
            <w:vMerge w:val="continue"/>
            <w:tcBorders>
              <w:top w:val="nil"/>
              <w:left w:val="single" w:color="auto" w:sz="4" w:space="0"/>
              <w:bottom w:val="single" w:color="auto" w:sz="4" w:space="0"/>
              <w:right w:val="single" w:color="000000" w:sz="8" w:space="0"/>
            </w:tcBorders>
            <w:shd w:val="clear" w:color="auto" w:fill="FFFFFF"/>
            <w:vAlign w:val="center"/>
          </w:tcPr>
          <w:p>
            <w:pPr>
              <w:jc w:val="center"/>
              <w:rPr>
                <w:rFonts w:ascii="宋体" w:hAnsi="宋体" w:eastAsia="宋体" w:cs="宋体"/>
                <w:color w:val="auto"/>
                <w:sz w:val="20"/>
                <w:szCs w:val="20"/>
              </w:rPr>
            </w:pPr>
          </w:p>
        </w:tc>
        <w:tc>
          <w:tcPr>
            <w:tcW w:w="336" w:type="pct"/>
            <w:tcBorders>
              <w:top w:val="nil"/>
              <w:left w:val="nil"/>
              <w:bottom w:val="single" w:color="auto" w:sz="4" w:space="0"/>
              <w:right w:val="nil"/>
            </w:tcBorders>
            <w:shd w:val="clear" w:color="auto" w:fill="FFFFFF"/>
            <w:vAlign w:val="center"/>
          </w:tcPr>
          <w:p>
            <w:pPr>
              <w:widowControl/>
              <w:jc w:val="center"/>
              <w:textAlignment w:val="center"/>
              <w:rPr>
                <w:rFonts w:ascii="宋体" w:hAnsi="宋体" w:eastAsia="宋体" w:cs="宋体"/>
                <w:color w:val="auto"/>
                <w:sz w:val="20"/>
                <w:szCs w:val="20"/>
              </w:rPr>
            </w:pPr>
            <w:r>
              <w:rPr>
                <w:rStyle w:val="10"/>
                <w:rFonts w:hint="default"/>
                <w:color w:val="auto"/>
              </w:rPr>
              <w:t>增减幅度</w:t>
            </w:r>
          </w:p>
        </w:tc>
        <w:tc>
          <w:tcPr>
            <w:tcW w:w="465" w:type="pct"/>
            <w:tcBorders>
              <w:top w:val="nil"/>
              <w:left w:val="single" w:color="000000" w:sz="8" w:space="0"/>
              <w:bottom w:val="single" w:color="auto" w:sz="4" w:space="0"/>
              <w:right w:val="single" w:color="000000" w:sz="8" w:space="0"/>
            </w:tcBorders>
            <w:shd w:val="clear" w:color="auto" w:fill="auto"/>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-5.59%</w:t>
            </w:r>
          </w:p>
        </w:tc>
        <w:tc>
          <w:tcPr>
            <w:tcW w:w="458" w:type="pct"/>
            <w:tcBorders>
              <w:top w:val="nil"/>
              <w:left w:val="nil"/>
              <w:bottom w:val="single" w:color="auto" w:sz="4" w:space="0"/>
              <w:right w:val="single" w:color="000000" w:sz="8" w:space="0"/>
            </w:tcBorders>
            <w:shd w:val="clear" w:color="auto" w:fill="auto"/>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0.37%</w:t>
            </w:r>
          </w:p>
        </w:tc>
        <w:tc>
          <w:tcPr>
            <w:tcW w:w="479" w:type="pct"/>
            <w:tcBorders>
              <w:top w:val="nil"/>
              <w:left w:val="nil"/>
              <w:bottom w:val="single" w:color="auto" w:sz="4" w:space="0"/>
              <w:right w:val="single" w:color="000000" w:sz="8" w:space="0"/>
            </w:tcBorders>
            <w:shd w:val="clear" w:color="auto" w:fill="auto"/>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4.57%</w:t>
            </w:r>
          </w:p>
        </w:tc>
        <w:tc>
          <w:tcPr>
            <w:tcW w:w="393" w:type="pct"/>
            <w:tcBorders>
              <w:top w:val="nil"/>
              <w:left w:val="nil"/>
              <w:bottom w:val="single" w:color="auto" w:sz="4" w:space="0"/>
              <w:right w:val="single" w:color="000000" w:sz="8" w:space="0"/>
            </w:tcBorders>
            <w:shd w:val="clear" w:color="auto" w:fill="auto"/>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12.9%</w:t>
            </w:r>
          </w:p>
        </w:tc>
        <w:tc>
          <w:tcPr>
            <w:tcW w:w="393" w:type="pct"/>
            <w:tcBorders>
              <w:top w:val="nil"/>
              <w:left w:val="nil"/>
              <w:bottom w:val="single" w:color="auto" w:sz="4" w:space="0"/>
              <w:right w:val="single" w:color="000000" w:sz="8" w:space="0"/>
            </w:tcBorders>
            <w:shd w:val="clear" w:color="auto" w:fill="auto"/>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12.27%</w:t>
            </w:r>
          </w:p>
        </w:tc>
        <w:tc>
          <w:tcPr>
            <w:tcW w:w="422" w:type="pct"/>
            <w:tcBorders>
              <w:top w:val="nil"/>
              <w:left w:val="nil"/>
              <w:bottom w:val="single" w:color="auto" w:sz="4" w:space="0"/>
              <w:right w:val="single" w:color="000000" w:sz="8" w:space="0"/>
            </w:tcBorders>
            <w:shd w:val="clear" w:color="auto" w:fill="auto"/>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-33.3%</w:t>
            </w:r>
          </w:p>
        </w:tc>
        <w:tc>
          <w:tcPr>
            <w:tcW w:w="494" w:type="pct"/>
            <w:tcBorders>
              <w:top w:val="nil"/>
              <w:left w:val="nil"/>
              <w:bottom w:val="single" w:color="auto" w:sz="4" w:space="0"/>
              <w:right w:val="single" w:color="000000" w:sz="8" w:space="0"/>
            </w:tcBorders>
            <w:shd w:val="clear" w:color="auto" w:fill="auto"/>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-36.57%</w:t>
            </w:r>
          </w:p>
        </w:tc>
        <w:tc>
          <w:tcPr>
            <w:tcW w:w="401" w:type="pct"/>
            <w:tcBorders>
              <w:top w:val="nil"/>
              <w:left w:val="nil"/>
              <w:bottom w:val="single" w:color="auto" w:sz="4" w:space="0"/>
              <w:right w:val="single" w:color="000000" w:sz="8" w:space="0"/>
            </w:tcBorders>
            <w:shd w:val="clear" w:color="auto" w:fill="auto"/>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-50%</w:t>
            </w:r>
          </w:p>
        </w:tc>
        <w:tc>
          <w:tcPr>
            <w:tcW w:w="321" w:type="pct"/>
            <w:tcBorders>
              <w:top w:val="nil"/>
              <w:left w:val="nil"/>
              <w:bottom w:val="single" w:color="auto" w:sz="4" w:space="0"/>
              <w:right w:val="single" w:color="000000" w:sz="8" w:space="0"/>
            </w:tcBorders>
            <w:shd w:val="clear" w:color="auto" w:fill="FFFFFF"/>
            <w:noWrap/>
            <w:vAlign w:val="center"/>
          </w:tcPr>
          <w:p>
            <w:pPr>
              <w:jc w:val="center"/>
              <w:rPr>
                <w:rFonts w:ascii="宋体" w:hAnsi="宋体" w:eastAsia="宋体" w:cs="宋体"/>
                <w:color w:val="auto"/>
                <w:sz w:val="20"/>
                <w:szCs w:val="20"/>
              </w:rPr>
            </w:pPr>
          </w:p>
        </w:tc>
        <w:tc>
          <w:tcPr>
            <w:tcW w:w="396" w:type="pct"/>
            <w:tcBorders>
              <w:top w:val="nil"/>
              <w:left w:val="nil"/>
              <w:bottom w:val="single" w:color="auto" w:sz="4" w:space="0"/>
              <w:right w:val="single" w:color="auto" w:sz="4" w:space="0"/>
            </w:tcBorders>
            <w:shd w:val="clear" w:color="auto" w:fill="FFFFFF"/>
            <w:noWrap/>
            <w:vAlign w:val="center"/>
          </w:tcPr>
          <w:p>
            <w:pPr>
              <w:jc w:val="center"/>
              <w:rPr>
                <w:rFonts w:ascii="宋体" w:hAnsi="宋体" w:eastAsia="宋体" w:cs="宋体"/>
                <w:color w:val="auto"/>
                <w:sz w:val="20"/>
                <w:szCs w:val="20"/>
              </w:rPr>
            </w:pPr>
          </w:p>
        </w:tc>
      </w:tr>
      <w:tr>
        <w:tblPrEx>
          <w:tblCellMar>
            <w:top w:w="0" w:type="dxa"/>
            <w:left w:w="108" w:type="dxa"/>
            <w:bottom w:w="0" w:type="dxa"/>
            <w:right w:w="108" w:type="dxa"/>
          </w:tblCellMar>
        </w:tblPrEx>
        <w:trPr>
          <w:trHeight w:val="345" w:hRule="atLeast"/>
        </w:trPr>
        <w:tc>
          <w:tcPr>
            <w:tcW w:w="436" w:type="pct"/>
            <w:vMerge w:val="restart"/>
            <w:tcBorders>
              <w:top w:val="single" w:color="auto" w:sz="4"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auto"/>
                <w:sz w:val="20"/>
                <w:szCs w:val="20"/>
              </w:rPr>
            </w:pPr>
            <w:r>
              <w:rPr>
                <w:rStyle w:val="10"/>
                <w:rFonts w:hint="default"/>
                <w:color w:val="auto"/>
              </w:rPr>
              <w:t>霍林郭勒爱德医院</w:t>
            </w:r>
          </w:p>
        </w:tc>
        <w:tc>
          <w:tcPr>
            <w:tcW w:w="336" w:type="pct"/>
            <w:tcBorders>
              <w:top w:val="single" w:color="auto" w:sz="4" w:space="0"/>
              <w:left w:val="nil"/>
              <w:bottom w:val="nil"/>
              <w:right w:val="single" w:color="000000" w:sz="8"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2022</w:t>
            </w:r>
          </w:p>
        </w:tc>
        <w:tc>
          <w:tcPr>
            <w:tcW w:w="465" w:type="pct"/>
            <w:tcBorders>
              <w:top w:val="single" w:color="auto" w:sz="4" w:space="0"/>
              <w:left w:val="nil"/>
              <w:bottom w:val="nil"/>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175</w:t>
            </w:r>
          </w:p>
        </w:tc>
        <w:tc>
          <w:tcPr>
            <w:tcW w:w="458" w:type="pct"/>
            <w:tcBorders>
              <w:top w:val="single" w:color="auto" w:sz="4" w:space="0"/>
              <w:left w:val="nil"/>
              <w:bottom w:val="nil"/>
              <w:right w:val="single" w:color="000000" w:sz="8" w:space="0"/>
            </w:tcBorders>
            <w:shd w:val="clear" w:color="auto" w:fill="auto"/>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48.83</w:t>
            </w:r>
          </w:p>
        </w:tc>
        <w:tc>
          <w:tcPr>
            <w:tcW w:w="479" w:type="pct"/>
            <w:tcBorders>
              <w:top w:val="single" w:color="auto" w:sz="4" w:space="0"/>
              <w:left w:val="nil"/>
              <w:bottom w:val="nil"/>
              <w:right w:val="single" w:color="000000" w:sz="8" w:space="0"/>
            </w:tcBorders>
            <w:shd w:val="clear" w:color="auto" w:fill="auto"/>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35.28</w:t>
            </w:r>
          </w:p>
        </w:tc>
        <w:tc>
          <w:tcPr>
            <w:tcW w:w="393" w:type="pct"/>
            <w:tcBorders>
              <w:top w:val="single" w:color="auto" w:sz="4" w:space="0"/>
              <w:left w:val="nil"/>
              <w:bottom w:val="nil"/>
              <w:right w:val="single" w:color="000000" w:sz="8" w:space="0"/>
            </w:tcBorders>
            <w:shd w:val="clear" w:color="auto" w:fill="auto"/>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0.2</w:t>
            </w:r>
          </w:p>
        </w:tc>
        <w:tc>
          <w:tcPr>
            <w:tcW w:w="393" w:type="pct"/>
            <w:tcBorders>
              <w:top w:val="single" w:color="auto" w:sz="4" w:space="0"/>
              <w:left w:val="nil"/>
              <w:bottom w:val="nil"/>
              <w:right w:val="single" w:color="000000" w:sz="8" w:space="0"/>
            </w:tcBorders>
            <w:shd w:val="clear" w:color="auto" w:fill="auto"/>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39</w:t>
            </w:r>
          </w:p>
        </w:tc>
        <w:tc>
          <w:tcPr>
            <w:tcW w:w="422" w:type="pct"/>
            <w:tcBorders>
              <w:top w:val="single" w:color="auto" w:sz="4" w:space="0"/>
              <w:left w:val="nil"/>
              <w:bottom w:val="nil"/>
              <w:right w:val="single" w:color="000000" w:sz="8" w:space="0"/>
            </w:tcBorders>
            <w:shd w:val="clear" w:color="auto" w:fill="auto"/>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3.31</w:t>
            </w:r>
          </w:p>
        </w:tc>
        <w:tc>
          <w:tcPr>
            <w:tcW w:w="494" w:type="pct"/>
            <w:tcBorders>
              <w:top w:val="single" w:color="auto" w:sz="4" w:space="0"/>
              <w:left w:val="nil"/>
              <w:bottom w:val="nil"/>
              <w:right w:val="single" w:color="000000" w:sz="8" w:space="0"/>
            </w:tcBorders>
            <w:shd w:val="clear" w:color="auto" w:fill="auto"/>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2.79</w:t>
            </w:r>
          </w:p>
        </w:tc>
        <w:tc>
          <w:tcPr>
            <w:tcW w:w="401" w:type="pct"/>
            <w:tcBorders>
              <w:top w:val="single" w:color="auto" w:sz="4" w:space="0"/>
              <w:left w:val="nil"/>
              <w:bottom w:val="nil"/>
              <w:right w:val="single" w:color="000000" w:sz="8" w:space="0"/>
            </w:tcBorders>
            <w:shd w:val="clear" w:color="auto" w:fill="auto"/>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0.07</w:t>
            </w:r>
          </w:p>
        </w:tc>
        <w:tc>
          <w:tcPr>
            <w:tcW w:w="321" w:type="pct"/>
            <w:tcBorders>
              <w:top w:val="single" w:color="auto" w:sz="4" w:space="0"/>
              <w:left w:val="nil"/>
              <w:bottom w:val="nil"/>
              <w:right w:val="single" w:color="000000" w:sz="8" w:space="0"/>
            </w:tcBorders>
            <w:shd w:val="clear" w:color="auto" w:fill="auto"/>
            <w:noWrap/>
            <w:vAlign w:val="center"/>
          </w:tcPr>
          <w:p>
            <w:pPr>
              <w:jc w:val="center"/>
              <w:rPr>
                <w:rFonts w:ascii="宋体" w:hAnsi="宋体" w:eastAsia="宋体" w:cs="宋体"/>
                <w:color w:val="auto"/>
                <w:sz w:val="20"/>
                <w:szCs w:val="20"/>
              </w:rPr>
            </w:pPr>
          </w:p>
        </w:tc>
        <w:tc>
          <w:tcPr>
            <w:tcW w:w="396" w:type="pct"/>
            <w:tcBorders>
              <w:top w:val="single" w:color="auto" w:sz="4" w:space="0"/>
              <w:left w:val="nil"/>
              <w:bottom w:val="nil"/>
              <w:right w:val="single" w:color="000000" w:sz="8" w:space="0"/>
            </w:tcBorders>
            <w:shd w:val="clear" w:color="auto" w:fill="auto"/>
            <w:noWrap/>
            <w:vAlign w:val="center"/>
          </w:tcPr>
          <w:p>
            <w:pPr>
              <w:jc w:val="center"/>
              <w:rPr>
                <w:rFonts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trPr>
        <w:tc>
          <w:tcPr>
            <w:tcW w:w="436"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sz w:val="20"/>
                <w:szCs w:val="20"/>
              </w:rPr>
            </w:pPr>
          </w:p>
        </w:tc>
        <w:tc>
          <w:tcPr>
            <w:tcW w:w="336" w:type="pct"/>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2023</w:t>
            </w:r>
          </w:p>
        </w:tc>
        <w:tc>
          <w:tcPr>
            <w:tcW w:w="465" w:type="pc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156</w:t>
            </w:r>
          </w:p>
        </w:tc>
        <w:tc>
          <w:tcPr>
            <w:tcW w:w="458" w:type="pct"/>
            <w:tcBorders>
              <w:top w:val="single" w:color="000000" w:sz="8" w:space="0"/>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37.36</w:t>
            </w:r>
          </w:p>
        </w:tc>
        <w:tc>
          <w:tcPr>
            <w:tcW w:w="479" w:type="pct"/>
            <w:tcBorders>
              <w:top w:val="single" w:color="000000" w:sz="8" w:space="0"/>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28.30</w:t>
            </w:r>
          </w:p>
        </w:tc>
        <w:tc>
          <w:tcPr>
            <w:tcW w:w="393" w:type="pct"/>
            <w:tcBorders>
              <w:top w:val="single" w:color="000000" w:sz="8" w:space="0"/>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0.18</w:t>
            </w:r>
          </w:p>
        </w:tc>
        <w:tc>
          <w:tcPr>
            <w:tcW w:w="393" w:type="pct"/>
            <w:tcBorders>
              <w:top w:val="single" w:color="000000" w:sz="8" w:space="0"/>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140</w:t>
            </w:r>
          </w:p>
        </w:tc>
        <w:tc>
          <w:tcPr>
            <w:tcW w:w="422" w:type="pct"/>
            <w:tcBorders>
              <w:top w:val="single" w:color="000000" w:sz="8" w:space="0"/>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6.24</w:t>
            </w:r>
          </w:p>
        </w:tc>
        <w:tc>
          <w:tcPr>
            <w:tcW w:w="494" w:type="pct"/>
            <w:tcBorders>
              <w:top w:val="single" w:color="000000" w:sz="8" w:space="0"/>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4.69</w:t>
            </w:r>
          </w:p>
        </w:tc>
        <w:tc>
          <w:tcPr>
            <w:tcW w:w="401" w:type="pct"/>
            <w:tcBorders>
              <w:top w:val="single" w:color="000000" w:sz="8" w:space="0"/>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0.03</w:t>
            </w:r>
          </w:p>
        </w:tc>
        <w:tc>
          <w:tcPr>
            <w:tcW w:w="321" w:type="pct"/>
            <w:tcBorders>
              <w:top w:val="single" w:color="000000" w:sz="8" w:space="0"/>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927</w:t>
            </w:r>
          </w:p>
        </w:tc>
        <w:tc>
          <w:tcPr>
            <w:tcW w:w="396" w:type="pct"/>
            <w:tcBorders>
              <w:top w:val="single" w:color="000000" w:sz="8" w:space="0"/>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10.6</w:t>
            </w:r>
          </w:p>
        </w:tc>
      </w:tr>
      <w:tr>
        <w:tblPrEx>
          <w:tblCellMar>
            <w:top w:w="0" w:type="dxa"/>
            <w:left w:w="108" w:type="dxa"/>
            <w:bottom w:w="0" w:type="dxa"/>
            <w:right w:w="108" w:type="dxa"/>
          </w:tblCellMar>
        </w:tblPrEx>
        <w:trPr>
          <w:trHeight w:val="330" w:hRule="atLeast"/>
        </w:trPr>
        <w:tc>
          <w:tcPr>
            <w:tcW w:w="436"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sz w:val="20"/>
                <w:szCs w:val="20"/>
              </w:rPr>
            </w:pPr>
          </w:p>
        </w:tc>
        <w:tc>
          <w:tcPr>
            <w:tcW w:w="336" w:type="pct"/>
            <w:tcBorders>
              <w:top w:val="nil"/>
              <w:left w:val="nil"/>
              <w:bottom w:val="single" w:color="000000" w:sz="8" w:space="0"/>
              <w:right w:val="nil"/>
            </w:tcBorders>
            <w:shd w:val="clear" w:color="auto" w:fill="auto"/>
            <w:vAlign w:val="center"/>
          </w:tcPr>
          <w:p>
            <w:pPr>
              <w:widowControl/>
              <w:jc w:val="center"/>
              <w:textAlignment w:val="center"/>
              <w:rPr>
                <w:rFonts w:ascii="宋体" w:hAnsi="宋体" w:eastAsia="宋体" w:cs="宋体"/>
                <w:color w:val="auto"/>
                <w:sz w:val="20"/>
                <w:szCs w:val="20"/>
              </w:rPr>
            </w:pPr>
            <w:r>
              <w:rPr>
                <w:rStyle w:val="10"/>
                <w:rFonts w:hint="default"/>
                <w:color w:val="auto"/>
              </w:rPr>
              <w:t>增减幅度</w:t>
            </w:r>
          </w:p>
        </w:tc>
        <w:tc>
          <w:tcPr>
            <w:tcW w:w="465" w:type="pct"/>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-10.86%</w:t>
            </w:r>
          </w:p>
        </w:tc>
        <w:tc>
          <w:tcPr>
            <w:tcW w:w="458" w:type="pct"/>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-23.49%</w:t>
            </w:r>
          </w:p>
        </w:tc>
        <w:tc>
          <w:tcPr>
            <w:tcW w:w="479" w:type="pct"/>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-19.78%</w:t>
            </w:r>
          </w:p>
        </w:tc>
        <w:tc>
          <w:tcPr>
            <w:tcW w:w="393" w:type="pct"/>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-10%</w:t>
            </w:r>
          </w:p>
        </w:tc>
        <w:tc>
          <w:tcPr>
            <w:tcW w:w="393" w:type="pct"/>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258%</w:t>
            </w:r>
          </w:p>
        </w:tc>
        <w:tc>
          <w:tcPr>
            <w:tcW w:w="422" w:type="pct"/>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88.52%</w:t>
            </w:r>
          </w:p>
        </w:tc>
        <w:tc>
          <w:tcPr>
            <w:tcW w:w="494" w:type="pct"/>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68.1%</w:t>
            </w:r>
          </w:p>
        </w:tc>
        <w:tc>
          <w:tcPr>
            <w:tcW w:w="401" w:type="pct"/>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-57.1%</w:t>
            </w:r>
          </w:p>
        </w:tc>
        <w:tc>
          <w:tcPr>
            <w:tcW w:w="321" w:type="pct"/>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0"/>
                <w:szCs w:val="20"/>
              </w:rPr>
            </w:pPr>
          </w:p>
        </w:tc>
        <w:tc>
          <w:tcPr>
            <w:tcW w:w="396" w:type="pct"/>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0"/>
                <w:szCs w:val="20"/>
              </w:rPr>
            </w:pPr>
          </w:p>
        </w:tc>
      </w:tr>
      <w:tr>
        <w:tblPrEx>
          <w:tblCellMar>
            <w:top w:w="0" w:type="dxa"/>
            <w:left w:w="108" w:type="dxa"/>
            <w:bottom w:w="0" w:type="dxa"/>
            <w:right w:w="108" w:type="dxa"/>
          </w:tblCellMar>
        </w:tblPrEx>
        <w:trPr>
          <w:trHeight w:val="345" w:hRule="atLeast"/>
        </w:trPr>
        <w:tc>
          <w:tcPr>
            <w:tcW w:w="436"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auto"/>
                <w:sz w:val="20"/>
                <w:szCs w:val="20"/>
              </w:rPr>
            </w:pPr>
            <w:r>
              <w:rPr>
                <w:rStyle w:val="10"/>
                <w:rFonts w:hint="default"/>
                <w:color w:val="auto"/>
              </w:rPr>
              <w:t>霍林郭勒仁合医院</w:t>
            </w:r>
          </w:p>
        </w:tc>
        <w:tc>
          <w:tcPr>
            <w:tcW w:w="336"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2022</w:t>
            </w:r>
          </w:p>
        </w:tc>
        <w:tc>
          <w:tcPr>
            <w:tcW w:w="46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33</w:t>
            </w:r>
          </w:p>
        </w:tc>
        <w:tc>
          <w:tcPr>
            <w:tcW w:w="458" w:type="pct"/>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12.34</w:t>
            </w:r>
          </w:p>
        </w:tc>
        <w:tc>
          <w:tcPr>
            <w:tcW w:w="479" w:type="pct"/>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10.01</w:t>
            </w:r>
          </w:p>
        </w:tc>
        <w:tc>
          <w:tcPr>
            <w:tcW w:w="393" w:type="pct"/>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0.3</w:t>
            </w:r>
          </w:p>
        </w:tc>
        <w:tc>
          <w:tcPr>
            <w:tcW w:w="393" w:type="pct"/>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0"/>
                <w:szCs w:val="20"/>
              </w:rPr>
            </w:pPr>
          </w:p>
        </w:tc>
        <w:tc>
          <w:tcPr>
            <w:tcW w:w="422" w:type="pct"/>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0"/>
                <w:szCs w:val="20"/>
              </w:rPr>
            </w:pPr>
          </w:p>
        </w:tc>
        <w:tc>
          <w:tcPr>
            <w:tcW w:w="494" w:type="pct"/>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0"/>
                <w:szCs w:val="20"/>
              </w:rPr>
            </w:pPr>
          </w:p>
        </w:tc>
        <w:tc>
          <w:tcPr>
            <w:tcW w:w="401" w:type="pct"/>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0"/>
                <w:szCs w:val="20"/>
              </w:rPr>
            </w:pPr>
          </w:p>
        </w:tc>
        <w:tc>
          <w:tcPr>
            <w:tcW w:w="321" w:type="pct"/>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0"/>
                <w:szCs w:val="20"/>
              </w:rPr>
            </w:pPr>
          </w:p>
        </w:tc>
        <w:tc>
          <w:tcPr>
            <w:tcW w:w="396" w:type="pct"/>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trPr>
        <w:tc>
          <w:tcPr>
            <w:tcW w:w="436"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sz w:val="20"/>
                <w:szCs w:val="20"/>
              </w:rPr>
            </w:pPr>
          </w:p>
        </w:tc>
        <w:tc>
          <w:tcPr>
            <w:tcW w:w="336"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2023</w:t>
            </w:r>
          </w:p>
        </w:tc>
        <w:tc>
          <w:tcPr>
            <w:tcW w:w="46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55</w:t>
            </w:r>
          </w:p>
        </w:tc>
        <w:tc>
          <w:tcPr>
            <w:tcW w:w="458" w:type="pct"/>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16.12</w:t>
            </w:r>
          </w:p>
        </w:tc>
        <w:tc>
          <w:tcPr>
            <w:tcW w:w="479" w:type="pct"/>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12.81</w:t>
            </w:r>
          </w:p>
        </w:tc>
        <w:tc>
          <w:tcPr>
            <w:tcW w:w="393" w:type="pct"/>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0.23</w:t>
            </w:r>
          </w:p>
        </w:tc>
        <w:tc>
          <w:tcPr>
            <w:tcW w:w="393" w:type="pct"/>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0"/>
                <w:szCs w:val="20"/>
              </w:rPr>
            </w:pPr>
          </w:p>
        </w:tc>
        <w:tc>
          <w:tcPr>
            <w:tcW w:w="422" w:type="pct"/>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0"/>
                <w:szCs w:val="20"/>
              </w:rPr>
            </w:pPr>
          </w:p>
        </w:tc>
        <w:tc>
          <w:tcPr>
            <w:tcW w:w="494" w:type="pct"/>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0"/>
                <w:szCs w:val="20"/>
              </w:rPr>
            </w:pPr>
          </w:p>
        </w:tc>
        <w:tc>
          <w:tcPr>
            <w:tcW w:w="401" w:type="pct"/>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0"/>
                <w:szCs w:val="20"/>
              </w:rPr>
            </w:pPr>
          </w:p>
        </w:tc>
        <w:tc>
          <w:tcPr>
            <w:tcW w:w="321" w:type="pct"/>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75</w:t>
            </w:r>
          </w:p>
        </w:tc>
        <w:tc>
          <w:tcPr>
            <w:tcW w:w="396" w:type="pct"/>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0.88</w:t>
            </w:r>
          </w:p>
        </w:tc>
      </w:tr>
      <w:tr>
        <w:tblPrEx>
          <w:tblCellMar>
            <w:top w:w="0" w:type="dxa"/>
            <w:left w:w="108" w:type="dxa"/>
            <w:bottom w:w="0" w:type="dxa"/>
            <w:right w:w="108" w:type="dxa"/>
          </w:tblCellMar>
        </w:tblPrEx>
        <w:trPr>
          <w:trHeight w:val="330" w:hRule="atLeast"/>
        </w:trPr>
        <w:tc>
          <w:tcPr>
            <w:tcW w:w="436"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sz w:val="20"/>
                <w:szCs w:val="20"/>
              </w:rPr>
            </w:pPr>
          </w:p>
        </w:tc>
        <w:tc>
          <w:tcPr>
            <w:tcW w:w="336"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auto"/>
                <w:sz w:val="20"/>
                <w:szCs w:val="20"/>
              </w:rPr>
            </w:pPr>
            <w:r>
              <w:rPr>
                <w:rStyle w:val="10"/>
                <w:rFonts w:hint="default"/>
                <w:color w:val="auto"/>
              </w:rPr>
              <w:t>增减幅度</w:t>
            </w:r>
          </w:p>
        </w:tc>
        <w:tc>
          <w:tcPr>
            <w:tcW w:w="465" w:type="pct"/>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66.6%</w:t>
            </w:r>
          </w:p>
        </w:tc>
        <w:tc>
          <w:tcPr>
            <w:tcW w:w="458" w:type="pct"/>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30.6%</w:t>
            </w:r>
          </w:p>
        </w:tc>
        <w:tc>
          <w:tcPr>
            <w:tcW w:w="479" w:type="pct"/>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27.97%</w:t>
            </w:r>
          </w:p>
        </w:tc>
        <w:tc>
          <w:tcPr>
            <w:tcW w:w="393" w:type="pct"/>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-23.3%</w:t>
            </w:r>
          </w:p>
        </w:tc>
        <w:tc>
          <w:tcPr>
            <w:tcW w:w="393" w:type="pct"/>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0"/>
                <w:szCs w:val="20"/>
              </w:rPr>
            </w:pPr>
          </w:p>
        </w:tc>
        <w:tc>
          <w:tcPr>
            <w:tcW w:w="422" w:type="pct"/>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0"/>
                <w:szCs w:val="20"/>
              </w:rPr>
            </w:pPr>
          </w:p>
        </w:tc>
        <w:tc>
          <w:tcPr>
            <w:tcW w:w="494" w:type="pct"/>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0"/>
                <w:szCs w:val="20"/>
              </w:rPr>
            </w:pPr>
          </w:p>
        </w:tc>
        <w:tc>
          <w:tcPr>
            <w:tcW w:w="401" w:type="pct"/>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0"/>
                <w:szCs w:val="20"/>
              </w:rPr>
            </w:pPr>
          </w:p>
        </w:tc>
        <w:tc>
          <w:tcPr>
            <w:tcW w:w="321" w:type="pct"/>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0"/>
                <w:szCs w:val="20"/>
              </w:rPr>
            </w:pPr>
          </w:p>
        </w:tc>
        <w:tc>
          <w:tcPr>
            <w:tcW w:w="396" w:type="pct"/>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0"/>
                <w:szCs w:val="20"/>
              </w:rPr>
            </w:pPr>
          </w:p>
        </w:tc>
      </w:tr>
      <w:tr>
        <w:tblPrEx>
          <w:tblCellMar>
            <w:top w:w="0" w:type="dxa"/>
            <w:left w:w="108" w:type="dxa"/>
            <w:bottom w:w="0" w:type="dxa"/>
            <w:right w:w="108" w:type="dxa"/>
          </w:tblCellMar>
        </w:tblPrEx>
        <w:trPr>
          <w:trHeight w:val="345" w:hRule="atLeast"/>
        </w:trPr>
        <w:tc>
          <w:tcPr>
            <w:tcW w:w="436"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auto"/>
                <w:sz w:val="20"/>
                <w:szCs w:val="20"/>
              </w:rPr>
            </w:pPr>
            <w:r>
              <w:rPr>
                <w:rStyle w:val="10"/>
                <w:rFonts w:hint="default"/>
                <w:color w:val="auto"/>
              </w:rPr>
              <w:t>通辽市</w:t>
            </w:r>
          </w:p>
        </w:tc>
        <w:tc>
          <w:tcPr>
            <w:tcW w:w="336"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2022</w:t>
            </w:r>
          </w:p>
        </w:tc>
        <w:tc>
          <w:tcPr>
            <w:tcW w:w="46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1147</w:t>
            </w:r>
          </w:p>
        </w:tc>
        <w:tc>
          <w:tcPr>
            <w:tcW w:w="458" w:type="pct"/>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1164.98</w:t>
            </w:r>
          </w:p>
        </w:tc>
        <w:tc>
          <w:tcPr>
            <w:tcW w:w="479" w:type="pct"/>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915.35</w:t>
            </w:r>
          </w:p>
        </w:tc>
        <w:tc>
          <w:tcPr>
            <w:tcW w:w="393" w:type="pct"/>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0.80</w:t>
            </w:r>
          </w:p>
        </w:tc>
        <w:tc>
          <w:tcPr>
            <w:tcW w:w="393" w:type="pct"/>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2138</w:t>
            </w:r>
          </w:p>
        </w:tc>
        <w:tc>
          <w:tcPr>
            <w:tcW w:w="422" w:type="pct"/>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169.80</w:t>
            </w:r>
          </w:p>
        </w:tc>
        <w:tc>
          <w:tcPr>
            <w:tcW w:w="494" w:type="pct"/>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136.05</w:t>
            </w:r>
          </w:p>
        </w:tc>
        <w:tc>
          <w:tcPr>
            <w:tcW w:w="401" w:type="pct"/>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0.06</w:t>
            </w:r>
          </w:p>
        </w:tc>
        <w:tc>
          <w:tcPr>
            <w:tcW w:w="321" w:type="pct"/>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0"/>
                <w:szCs w:val="20"/>
              </w:rPr>
            </w:pPr>
          </w:p>
        </w:tc>
        <w:tc>
          <w:tcPr>
            <w:tcW w:w="396" w:type="pct"/>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trPr>
        <w:tc>
          <w:tcPr>
            <w:tcW w:w="436"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sz w:val="20"/>
                <w:szCs w:val="20"/>
              </w:rPr>
            </w:pPr>
          </w:p>
        </w:tc>
        <w:tc>
          <w:tcPr>
            <w:tcW w:w="336"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2023</w:t>
            </w:r>
          </w:p>
        </w:tc>
        <w:tc>
          <w:tcPr>
            <w:tcW w:w="46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1204</w:t>
            </w:r>
          </w:p>
        </w:tc>
        <w:tc>
          <w:tcPr>
            <w:tcW w:w="458" w:type="pct"/>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1226.5</w:t>
            </w:r>
          </w:p>
        </w:tc>
        <w:tc>
          <w:tcPr>
            <w:tcW w:w="479" w:type="pct"/>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969.19</w:t>
            </w:r>
          </w:p>
        </w:tc>
        <w:tc>
          <w:tcPr>
            <w:tcW w:w="393" w:type="pct"/>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0.80</w:t>
            </w:r>
          </w:p>
        </w:tc>
        <w:tc>
          <w:tcPr>
            <w:tcW w:w="393" w:type="pct"/>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2208</w:t>
            </w:r>
          </w:p>
        </w:tc>
        <w:tc>
          <w:tcPr>
            <w:tcW w:w="422" w:type="pct"/>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192.25</w:t>
            </w:r>
          </w:p>
        </w:tc>
        <w:tc>
          <w:tcPr>
            <w:tcW w:w="494" w:type="pct"/>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156.66</w:t>
            </w:r>
          </w:p>
        </w:tc>
        <w:tc>
          <w:tcPr>
            <w:tcW w:w="401" w:type="pct"/>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0.07</w:t>
            </w:r>
          </w:p>
        </w:tc>
        <w:tc>
          <w:tcPr>
            <w:tcW w:w="321" w:type="pct"/>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2895</w:t>
            </w:r>
          </w:p>
        </w:tc>
        <w:tc>
          <w:tcPr>
            <w:tcW w:w="396" w:type="pct"/>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38.43</w:t>
            </w:r>
          </w:p>
        </w:tc>
      </w:tr>
      <w:tr>
        <w:tblPrEx>
          <w:tblCellMar>
            <w:top w:w="0" w:type="dxa"/>
            <w:left w:w="108" w:type="dxa"/>
            <w:bottom w:w="0" w:type="dxa"/>
            <w:right w:w="108" w:type="dxa"/>
          </w:tblCellMar>
        </w:tblPrEx>
        <w:trPr>
          <w:trHeight w:val="330" w:hRule="atLeast"/>
        </w:trPr>
        <w:tc>
          <w:tcPr>
            <w:tcW w:w="436"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sz w:val="20"/>
                <w:szCs w:val="20"/>
              </w:rPr>
            </w:pPr>
          </w:p>
        </w:tc>
        <w:tc>
          <w:tcPr>
            <w:tcW w:w="336" w:type="pct"/>
            <w:tcBorders>
              <w:top w:val="nil"/>
              <w:left w:val="nil"/>
              <w:bottom w:val="single" w:color="000000" w:sz="8" w:space="0"/>
              <w:right w:val="nil"/>
            </w:tcBorders>
            <w:shd w:val="clear" w:color="auto" w:fill="auto"/>
            <w:vAlign w:val="center"/>
          </w:tcPr>
          <w:p>
            <w:pPr>
              <w:widowControl/>
              <w:jc w:val="center"/>
              <w:textAlignment w:val="center"/>
              <w:rPr>
                <w:rFonts w:ascii="宋体" w:hAnsi="宋体" w:eastAsia="宋体" w:cs="宋体"/>
                <w:color w:val="auto"/>
                <w:sz w:val="20"/>
                <w:szCs w:val="20"/>
              </w:rPr>
            </w:pPr>
            <w:r>
              <w:rPr>
                <w:rStyle w:val="10"/>
                <w:rFonts w:hint="default"/>
                <w:color w:val="auto"/>
              </w:rPr>
              <w:t>增减幅度</w:t>
            </w:r>
          </w:p>
        </w:tc>
        <w:tc>
          <w:tcPr>
            <w:tcW w:w="465" w:type="pct"/>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4.97%</w:t>
            </w:r>
          </w:p>
        </w:tc>
        <w:tc>
          <w:tcPr>
            <w:tcW w:w="458" w:type="pct"/>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5.28%</w:t>
            </w:r>
          </w:p>
        </w:tc>
        <w:tc>
          <w:tcPr>
            <w:tcW w:w="479" w:type="pct"/>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5.88%</w:t>
            </w:r>
          </w:p>
        </w:tc>
        <w:tc>
          <w:tcPr>
            <w:tcW w:w="393" w:type="pct"/>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0"/>
                <w:szCs w:val="20"/>
              </w:rPr>
            </w:pPr>
          </w:p>
        </w:tc>
        <w:tc>
          <w:tcPr>
            <w:tcW w:w="393" w:type="pct"/>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3.27%</w:t>
            </w:r>
          </w:p>
        </w:tc>
        <w:tc>
          <w:tcPr>
            <w:tcW w:w="422" w:type="pct"/>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13.22%</w:t>
            </w:r>
          </w:p>
        </w:tc>
        <w:tc>
          <w:tcPr>
            <w:tcW w:w="494" w:type="pct"/>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15.15%</w:t>
            </w:r>
          </w:p>
        </w:tc>
        <w:tc>
          <w:tcPr>
            <w:tcW w:w="401" w:type="pct"/>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16.6%</w:t>
            </w:r>
          </w:p>
        </w:tc>
        <w:tc>
          <w:tcPr>
            <w:tcW w:w="321" w:type="pct"/>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0"/>
                <w:szCs w:val="20"/>
              </w:rPr>
            </w:pPr>
          </w:p>
        </w:tc>
        <w:tc>
          <w:tcPr>
            <w:tcW w:w="396" w:type="pct"/>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0"/>
                <w:szCs w:val="20"/>
              </w:rPr>
            </w:pPr>
          </w:p>
        </w:tc>
      </w:tr>
      <w:tr>
        <w:tblPrEx>
          <w:tblCellMar>
            <w:top w:w="0" w:type="dxa"/>
            <w:left w:w="108" w:type="dxa"/>
            <w:bottom w:w="0" w:type="dxa"/>
            <w:right w:w="108" w:type="dxa"/>
          </w:tblCellMar>
        </w:tblPrEx>
        <w:trPr>
          <w:trHeight w:val="345" w:hRule="atLeast"/>
        </w:trPr>
        <w:tc>
          <w:tcPr>
            <w:tcW w:w="436"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auto"/>
                <w:sz w:val="20"/>
                <w:szCs w:val="20"/>
              </w:rPr>
            </w:pPr>
            <w:r>
              <w:rPr>
                <w:rStyle w:val="10"/>
                <w:rFonts w:hint="default"/>
                <w:color w:val="auto"/>
              </w:rPr>
              <w:t>转外住院</w:t>
            </w:r>
          </w:p>
        </w:tc>
        <w:tc>
          <w:tcPr>
            <w:tcW w:w="336"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2022</w:t>
            </w:r>
          </w:p>
        </w:tc>
        <w:tc>
          <w:tcPr>
            <w:tcW w:w="465"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1164</w:t>
            </w:r>
          </w:p>
        </w:tc>
        <w:tc>
          <w:tcPr>
            <w:tcW w:w="458" w:type="pct"/>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2130.7</w:t>
            </w:r>
          </w:p>
        </w:tc>
        <w:tc>
          <w:tcPr>
            <w:tcW w:w="479" w:type="pct"/>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1444.54</w:t>
            </w:r>
          </w:p>
        </w:tc>
        <w:tc>
          <w:tcPr>
            <w:tcW w:w="393" w:type="pct"/>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1.24</w:t>
            </w:r>
          </w:p>
        </w:tc>
        <w:tc>
          <w:tcPr>
            <w:tcW w:w="39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1339</w:t>
            </w:r>
          </w:p>
        </w:tc>
        <w:tc>
          <w:tcPr>
            <w:tcW w:w="422" w:type="pct"/>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167.53</w:t>
            </w:r>
          </w:p>
        </w:tc>
        <w:tc>
          <w:tcPr>
            <w:tcW w:w="494" w:type="pct"/>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125.16</w:t>
            </w:r>
          </w:p>
        </w:tc>
        <w:tc>
          <w:tcPr>
            <w:tcW w:w="401" w:type="pct"/>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0.09</w:t>
            </w:r>
          </w:p>
        </w:tc>
        <w:tc>
          <w:tcPr>
            <w:tcW w:w="321" w:type="pct"/>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0"/>
                <w:szCs w:val="20"/>
              </w:rPr>
            </w:pPr>
          </w:p>
        </w:tc>
        <w:tc>
          <w:tcPr>
            <w:tcW w:w="396" w:type="pct"/>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0"/>
                <w:szCs w:val="20"/>
              </w:rPr>
            </w:pPr>
          </w:p>
        </w:tc>
      </w:tr>
      <w:tr>
        <w:tblPrEx>
          <w:tblCellMar>
            <w:top w:w="0" w:type="dxa"/>
            <w:left w:w="108" w:type="dxa"/>
            <w:bottom w:w="0" w:type="dxa"/>
            <w:right w:w="108" w:type="dxa"/>
          </w:tblCellMar>
        </w:tblPrEx>
        <w:trPr>
          <w:trHeight w:val="330" w:hRule="atLeast"/>
        </w:trPr>
        <w:tc>
          <w:tcPr>
            <w:tcW w:w="436"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sz w:val="20"/>
                <w:szCs w:val="20"/>
              </w:rPr>
            </w:pPr>
          </w:p>
        </w:tc>
        <w:tc>
          <w:tcPr>
            <w:tcW w:w="336" w:type="pct"/>
            <w:tcBorders>
              <w:top w:val="nil"/>
              <w:left w:val="nil"/>
              <w:bottom w:val="nil"/>
              <w:right w:val="single" w:color="000000" w:sz="8" w:space="0"/>
            </w:tcBorders>
            <w:shd w:val="clear" w:color="auto" w:fill="FFFFFF"/>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2023</w:t>
            </w:r>
          </w:p>
        </w:tc>
        <w:tc>
          <w:tcPr>
            <w:tcW w:w="465" w:type="pct"/>
            <w:tcBorders>
              <w:top w:val="nil"/>
              <w:left w:val="nil"/>
              <w:bottom w:val="nil"/>
              <w:right w:val="single" w:color="000000" w:sz="8"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1899</w:t>
            </w:r>
          </w:p>
        </w:tc>
        <w:tc>
          <w:tcPr>
            <w:tcW w:w="458" w:type="pct"/>
            <w:tcBorders>
              <w:top w:val="nil"/>
              <w:left w:val="nil"/>
              <w:bottom w:val="nil"/>
              <w:right w:val="single" w:color="000000" w:sz="8" w:space="0"/>
            </w:tcBorders>
            <w:shd w:val="clear" w:color="auto" w:fill="FFFFFF"/>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3306.44</w:t>
            </w:r>
          </w:p>
        </w:tc>
        <w:tc>
          <w:tcPr>
            <w:tcW w:w="479" w:type="pct"/>
            <w:tcBorders>
              <w:top w:val="nil"/>
              <w:left w:val="nil"/>
              <w:bottom w:val="nil"/>
              <w:right w:val="single" w:color="000000" w:sz="8" w:space="0"/>
            </w:tcBorders>
            <w:shd w:val="clear" w:color="auto" w:fill="FFFFFF"/>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2057.88</w:t>
            </w:r>
          </w:p>
        </w:tc>
        <w:tc>
          <w:tcPr>
            <w:tcW w:w="393" w:type="pct"/>
            <w:tcBorders>
              <w:top w:val="nil"/>
              <w:left w:val="nil"/>
              <w:bottom w:val="nil"/>
              <w:right w:val="single" w:color="000000" w:sz="8" w:space="0"/>
            </w:tcBorders>
            <w:shd w:val="clear" w:color="auto" w:fill="FFFFFF"/>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1.08</w:t>
            </w:r>
          </w:p>
        </w:tc>
        <w:tc>
          <w:tcPr>
            <w:tcW w:w="393" w:type="pc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2175</w:t>
            </w:r>
          </w:p>
        </w:tc>
        <w:tc>
          <w:tcPr>
            <w:tcW w:w="422" w:type="pct"/>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274.07</w:t>
            </w:r>
          </w:p>
        </w:tc>
        <w:tc>
          <w:tcPr>
            <w:tcW w:w="494" w:type="pct"/>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211.31</w:t>
            </w:r>
          </w:p>
        </w:tc>
        <w:tc>
          <w:tcPr>
            <w:tcW w:w="401" w:type="pct"/>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0.09</w:t>
            </w:r>
          </w:p>
        </w:tc>
        <w:tc>
          <w:tcPr>
            <w:tcW w:w="321" w:type="pct"/>
            <w:tcBorders>
              <w:top w:val="nil"/>
              <w:left w:val="nil"/>
              <w:bottom w:val="single" w:color="000000" w:sz="8" w:space="0"/>
              <w:right w:val="single" w:color="000000" w:sz="8" w:space="0"/>
            </w:tcBorders>
            <w:shd w:val="clear" w:color="auto" w:fill="FFFFFF"/>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6468</w:t>
            </w:r>
          </w:p>
        </w:tc>
        <w:tc>
          <w:tcPr>
            <w:tcW w:w="396" w:type="pct"/>
            <w:tcBorders>
              <w:top w:val="nil"/>
              <w:left w:val="nil"/>
              <w:bottom w:val="single" w:color="000000" w:sz="8" w:space="0"/>
              <w:right w:val="single" w:color="000000" w:sz="8" w:space="0"/>
            </w:tcBorders>
            <w:shd w:val="clear" w:color="auto" w:fill="FFFFFF"/>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127.31</w:t>
            </w:r>
          </w:p>
        </w:tc>
      </w:tr>
      <w:tr>
        <w:tblPrEx>
          <w:tblCellMar>
            <w:top w:w="0" w:type="dxa"/>
            <w:left w:w="108" w:type="dxa"/>
            <w:bottom w:w="0" w:type="dxa"/>
            <w:right w:w="108" w:type="dxa"/>
          </w:tblCellMar>
        </w:tblPrEx>
        <w:trPr>
          <w:trHeight w:val="330" w:hRule="atLeast"/>
        </w:trPr>
        <w:tc>
          <w:tcPr>
            <w:tcW w:w="436"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uto"/>
                <w:sz w:val="20"/>
                <w:szCs w:val="20"/>
              </w:rPr>
            </w:pPr>
          </w:p>
        </w:tc>
        <w:tc>
          <w:tcPr>
            <w:tcW w:w="336" w:type="pct"/>
            <w:tcBorders>
              <w:top w:val="single" w:color="000000" w:sz="8" w:space="0"/>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auto"/>
                <w:sz w:val="20"/>
                <w:szCs w:val="20"/>
              </w:rPr>
            </w:pPr>
            <w:r>
              <w:rPr>
                <w:rStyle w:val="10"/>
                <w:rFonts w:hint="default"/>
                <w:color w:val="auto"/>
              </w:rPr>
              <w:t>增减幅度</w:t>
            </w:r>
          </w:p>
        </w:tc>
        <w:tc>
          <w:tcPr>
            <w:tcW w:w="465" w:type="pct"/>
            <w:tcBorders>
              <w:top w:val="single" w:color="000000" w:sz="8" w:space="0"/>
              <w:left w:val="nil"/>
              <w:bottom w:val="single" w:color="000000" w:sz="8" w:space="0"/>
              <w:right w:val="single" w:color="000000" w:sz="8" w:space="0"/>
            </w:tcBorders>
            <w:shd w:val="clear" w:color="auto" w:fill="FFFFFF"/>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63.14%</w:t>
            </w:r>
          </w:p>
        </w:tc>
        <w:tc>
          <w:tcPr>
            <w:tcW w:w="458" w:type="pct"/>
            <w:tcBorders>
              <w:top w:val="single" w:color="000000" w:sz="8" w:space="0"/>
              <w:left w:val="nil"/>
              <w:bottom w:val="single" w:color="000000" w:sz="8" w:space="0"/>
              <w:right w:val="single" w:color="000000" w:sz="8" w:space="0"/>
            </w:tcBorders>
            <w:shd w:val="clear" w:color="auto" w:fill="FFFFFF"/>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55.18%</w:t>
            </w:r>
          </w:p>
        </w:tc>
        <w:tc>
          <w:tcPr>
            <w:tcW w:w="479" w:type="pct"/>
            <w:tcBorders>
              <w:top w:val="single" w:color="000000" w:sz="8" w:space="0"/>
              <w:left w:val="nil"/>
              <w:bottom w:val="single" w:color="000000" w:sz="8" w:space="0"/>
              <w:right w:val="single" w:color="000000" w:sz="8" w:space="0"/>
            </w:tcBorders>
            <w:shd w:val="clear" w:color="auto" w:fill="FFFFFF"/>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42.46%</w:t>
            </w:r>
          </w:p>
        </w:tc>
        <w:tc>
          <w:tcPr>
            <w:tcW w:w="393" w:type="pct"/>
            <w:tcBorders>
              <w:top w:val="single" w:color="000000" w:sz="8" w:space="0"/>
              <w:left w:val="nil"/>
              <w:bottom w:val="single" w:color="000000" w:sz="8" w:space="0"/>
              <w:right w:val="single" w:color="000000" w:sz="8" w:space="0"/>
            </w:tcBorders>
            <w:shd w:val="clear" w:color="auto" w:fill="FFFFFF"/>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-12.9%</w:t>
            </w:r>
          </w:p>
        </w:tc>
        <w:tc>
          <w:tcPr>
            <w:tcW w:w="393" w:type="pct"/>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62.43%</w:t>
            </w:r>
          </w:p>
        </w:tc>
        <w:tc>
          <w:tcPr>
            <w:tcW w:w="422" w:type="pct"/>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63.59%</w:t>
            </w:r>
          </w:p>
        </w:tc>
        <w:tc>
          <w:tcPr>
            <w:tcW w:w="494" w:type="pct"/>
            <w:tcBorders>
              <w:top w:val="nil"/>
              <w:left w:val="nil"/>
              <w:bottom w:val="single" w:color="000000" w:sz="8" w:space="0"/>
              <w:right w:val="single" w:color="000000" w:sz="8" w:space="0"/>
            </w:tcBorders>
            <w:shd w:val="clear" w:color="auto" w:fill="auto"/>
            <w:noWrap/>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68.83%</w:t>
            </w:r>
          </w:p>
        </w:tc>
        <w:tc>
          <w:tcPr>
            <w:tcW w:w="401" w:type="pct"/>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auto"/>
                <w:sz w:val="20"/>
                <w:szCs w:val="20"/>
              </w:rPr>
            </w:pPr>
          </w:p>
        </w:tc>
        <w:tc>
          <w:tcPr>
            <w:tcW w:w="321" w:type="pct"/>
            <w:tcBorders>
              <w:top w:val="nil"/>
              <w:left w:val="nil"/>
              <w:bottom w:val="single" w:color="000000" w:sz="8" w:space="0"/>
              <w:right w:val="single" w:color="000000" w:sz="8" w:space="0"/>
            </w:tcBorders>
            <w:shd w:val="clear" w:color="auto" w:fill="FFFFFF"/>
            <w:noWrap/>
            <w:vAlign w:val="center"/>
          </w:tcPr>
          <w:p>
            <w:pPr>
              <w:jc w:val="center"/>
              <w:rPr>
                <w:rFonts w:ascii="宋体" w:hAnsi="宋体" w:eastAsia="宋体" w:cs="宋体"/>
                <w:color w:val="auto"/>
                <w:sz w:val="20"/>
                <w:szCs w:val="20"/>
              </w:rPr>
            </w:pPr>
          </w:p>
        </w:tc>
        <w:tc>
          <w:tcPr>
            <w:tcW w:w="396" w:type="pct"/>
            <w:tcBorders>
              <w:top w:val="nil"/>
              <w:left w:val="nil"/>
              <w:bottom w:val="single" w:color="000000" w:sz="8" w:space="0"/>
              <w:right w:val="single" w:color="000000" w:sz="8" w:space="0"/>
            </w:tcBorders>
            <w:shd w:val="clear" w:color="auto" w:fill="FFFFFF"/>
            <w:noWrap/>
            <w:vAlign w:val="center"/>
          </w:tcPr>
          <w:p>
            <w:pPr>
              <w:rPr>
                <w:rFonts w:ascii="宋体" w:hAnsi="宋体" w:eastAsia="宋体" w:cs="宋体"/>
                <w:color w:val="auto"/>
                <w:sz w:val="20"/>
                <w:szCs w:val="20"/>
              </w:rPr>
            </w:pPr>
          </w:p>
        </w:tc>
      </w:tr>
    </w:tbl>
    <w:p>
      <w:pPr>
        <w:spacing w:line="560" w:lineRule="exact"/>
        <w:ind w:firstLine="643" w:firstLineChars="200"/>
        <w:rPr>
          <w:rFonts w:ascii="仿宋" w:hAnsi="仿宋" w:eastAsia="仿宋" w:cs="仿宋"/>
          <w:color w:val="auto"/>
          <w:sz w:val="32"/>
          <w:szCs w:val="32"/>
        </w:rPr>
      </w:pPr>
      <w:r>
        <w:rPr>
          <w:rFonts w:hint="eastAsia" w:ascii="仿宋" w:hAnsi="仿宋" w:eastAsia="仿宋" w:cs="仿宋"/>
          <w:b/>
          <w:bCs/>
          <w:color w:val="auto"/>
          <w:sz w:val="32"/>
          <w:szCs w:val="32"/>
        </w:rPr>
        <w:t>数据比对情况分析结论：</w:t>
      </w:r>
    </w:p>
    <w:p>
      <w:pPr>
        <w:spacing w:line="56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1.人民医院</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季度住院人次</w:t>
      </w:r>
      <w:r>
        <w:rPr>
          <w:rFonts w:hint="eastAsia" w:ascii="仿宋" w:hAnsi="仿宋" w:eastAsia="仿宋" w:cs="仿宋"/>
          <w:color w:val="auto"/>
          <w:sz w:val="32"/>
          <w:szCs w:val="32"/>
          <w:lang w:val="en-US" w:eastAsia="zh-CN"/>
        </w:rPr>
        <w:t>增长了5.1</w:t>
      </w:r>
      <w:r>
        <w:rPr>
          <w:rFonts w:hint="eastAsia" w:ascii="仿宋" w:hAnsi="仿宋" w:eastAsia="仿宋" w:cs="仿宋"/>
          <w:color w:val="auto"/>
          <w:sz w:val="32"/>
          <w:szCs w:val="32"/>
        </w:rPr>
        <w:t>%，基金支出</w:t>
      </w:r>
      <w:r>
        <w:rPr>
          <w:rFonts w:hint="eastAsia" w:ascii="仿宋" w:hAnsi="仿宋" w:eastAsia="仿宋" w:cs="仿宋"/>
          <w:color w:val="auto"/>
          <w:sz w:val="32"/>
          <w:szCs w:val="32"/>
          <w:lang w:val="en-US" w:eastAsia="zh-CN"/>
        </w:rPr>
        <w:t>基本持平</w:t>
      </w:r>
      <w:r>
        <w:rPr>
          <w:rFonts w:hint="eastAsia" w:ascii="仿宋" w:hAnsi="仿宋" w:eastAsia="仿宋" w:cs="仿宋"/>
          <w:color w:val="auto"/>
          <w:sz w:val="32"/>
          <w:szCs w:val="32"/>
        </w:rPr>
        <w:t>，次均费用</w:t>
      </w:r>
      <w:r>
        <w:rPr>
          <w:rFonts w:hint="eastAsia" w:ascii="仿宋" w:hAnsi="仿宋" w:eastAsia="仿宋" w:cs="仿宋"/>
          <w:color w:val="auto"/>
          <w:sz w:val="32"/>
          <w:szCs w:val="32"/>
          <w:lang w:val="en-US" w:eastAsia="zh-CN"/>
        </w:rPr>
        <w:t>下降了5.3</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应</w:t>
      </w:r>
      <w:r>
        <w:rPr>
          <w:rFonts w:hint="eastAsia" w:ascii="仿宋" w:hAnsi="仿宋" w:eastAsia="仿宋" w:cs="仿宋"/>
          <w:color w:val="auto"/>
          <w:sz w:val="32"/>
          <w:szCs w:val="32"/>
        </w:rPr>
        <w:t>与医院开展DIP支付有关，</w:t>
      </w:r>
      <w:r>
        <w:rPr>
          <w:rFonts w:hint="eastAsia" w:ascii="仿宋" w:hAnsi="仿宋" w:eastAsia="仿宋" w:cs="仿宋"/>
          <w:color w:val="auto"/>
          <w:sz w:val="32"/>
          <w:szCs w:val="32"/>
          <w:lang w:val="en-US" w:eastAsia="zh-CN"/>
        </w:rPr>
        <w:t>院方主动控费意识增强</w:t>
      </w:r>
      <w:r>
        <w:rPr>
          <w:rFonts w:hint="eastAsia" w:ascii="仿宋" w:hAnsi="仿宋" w:eastAsia="仿宋" w:cs="仿宋"/>
          <w:color w:val="auto"/>
          <w:sz w:val="32"/>
          <w:szCs w:val="32"/>
        </w:rPr>
        <w:t>；门诊慢性病人数增加</w:t>
      </w:r>
      <w:r>
        <w:rPr>
          <w:rFonts w:hint="eastAsia" w:ascii="仿宋" w:hAnsi="仿宋" w:eastAsia="仿宋" w:cs="仿宋"/>
          <w:color w:val="auto"/>
          <w:sz w:val="32"/>
          <w:szCs w:val="32"/>
          <w:lang w:val="en-US" w:eastAsia="zh-CN"/>
        </w:rPr>
        <w:t>1.36</w:t>
      </w:r>
      <w:r>
        <w:rPr>
          <w:rFonts w:hint="eastAsia" w:ascii="仿宋" w:hAnsi="仿宋" w:eastAsia="仿宋" w:cs="仿宋"/>
          <w:color w:val="auto"/>
          <w:sz w:val="32"/>
          <w:szCs w:val="32"/>
        </w:rPr>
        <w:t>%，基金支付总额减少</w:t>
      </w:r>
      <w:r>
        <w:rPr>
          <w:rFonts w:hint="eastAsia" w:ascii="仿宋" w:hAnsi="仿宋" w:eastAsia="仿宋" w:cs="仿宋"/>
          <w:color w:val="auto"/>
          <w:sz w:val="32"/>
          <w:szCs w:val="32"/>
          <w:lang w:val="en-US" w:eastAsia="zh-CN"/>
        </w:rPr>
        <w:t>14.4</w:t>
      </w:r>
      <w:r>
        <w:rPr>
          <w:rFonts w:hint="eastAsia" w:ascii="仿宋" w:hAnsi="仿宋" w:eastAsia="仿宋" w:cs="仿宋"/>
          <w:color w:val="auto"/>
          <w:sz w:val="32"/>
          <w:szCs w:val="32"/>
        </w:rPr>
        <w:t>%，次均费用</w:t>
      </w:r>
      <w:r>
        <w:rPr>
          <w:rFonts w:hint="eastAsia" w:ascii="仿宋" w:hAnsi="仿宋" w:eastAsia="仿宋" w:cs="仿宋"/>
          <w:color w:val="auto"/>
          <w:sz w:val="32"/>
          <w:szCs w:val="32"/>
          <w:lang w:val="en-US" w:eastAsia="zh-CN"/>
        </w:rPr>
        <w:t>持平</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分析</w:t>
      </w:r>
      <w:r>
        <w:rPr>
          <w:rFonts w:hint="eastAsia" w:ascii="仿宋" w:hAnsi="仿宋" w:eastAsia="仿宋" w:cs="仿宋"/>
          <w:color w:val="auto"/>
          <w:sz w:val="32"/>
          <w:szCs w:val="32"/>
        </w:rPr>
        <w:t>与开展职工门诊统筹报销有关，因门慢除三种特病以外，其他</w:t>
      </w:r>
      <w:r>
        <w:rPr>
          <w:rFonts w:hint="eastAsia" w:ascii="仿宋" w:hAnsi="仿宋" w:eastAsia="仿宋" w:cs="仿宋"/>
          <w:color w:val="auto"/>
          <w:sz w:val="32"/>
          <w:szCs w:val="32"/>
          <w:lang w:val="en-US" w:eastAsia="zh-CN"/>
        </w:rPr>
        <w:t>病种</w:t>
      </w:r>
      <w:r>
        <w:rPr>
          <w:rFonts w:hint="eastAsia" w:ascii="仿宋" w:hAnsi="仿宋" w:eastAsia="仿宋" w:cs="仿宋"/>
          <w:color w:val="auto"/>
          <w:sz w:val="32"/>
          <w:szCs w:val="32"/>
        </w:rPr>
        <w:t>只能开具药物治疗，而职工门诊统筹恰好可以满足检查的需求；2023年第</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季度职工门诊统筹报销人数为</w:t>
      </w:r>
      <w:r>
        <w:rPr>
          <w:rFonts w:hint="eastAsia" w:ascii="仿宋" w:hAnsi="仿宋" w:eastAsia="仿宋" w:cs="仿宋"/>
          <w:color w:val="auto"/>
          <w:sz w:val="32"/>
          <w:szCs w:val="32"/>
          <w:lang w:val="en-US" w:eastAsia="zh-CN"/>
        </w:rPr>
        <w:t>3898</w:t>
      </w:r>
      <w:r>
        <w:rPr>
          <w:rFonts w:hint="eastAsia" w:ascii="仿宋" w:hAnsi="仿宋" w:eastAsia="仿宋" w:cs="仿宋"/>
          <w:color w:val="auto"/>
          <w:sz w:val="32"/>
          <w:szCs w:val="32"/>
        </w:rPr>
        <w:t>人（进入统筹报销人数），基金支付总额为</w:t>
      </w:r>
      <w:r>
        <w:rPr>
          <w:rFonts w:hint="eastAsia" w:ascii="仿宋" w:hAnsi="仿宋" w:eastAsia="仿宋" w:cs="仿宋"/>
          <w:color w:val="auto"/>
          <w:sz w:val="32"/>
          <w:szCs w:val="32"/>
          <w:lang w:val="en-US" w:eastAsia="zh-CN"/>
        </w:rPr>
        <w:t>57.62</w:t>
      </w:r>
      <w:r>
        <w:rPr>
          <w:rFonts w:hint="eastAsia" w:ascii="仿宋" w:hAnsi="仿宋" w:eastAsia="仿宋" w:cs="仿宋"/>
          <w:color w:val="auto"/>
          <w:sz w:val="32"/>
          <w:szCs w:val="32"/>
        </w:rPr>
        <w:t>，因无同期比对数据，故不做具体分析，存在问题将在基金监管做具体阐述</w:t>
      </w:r>
      <w:r>
        <w:rPr>
          <w:rFonts w:hint="eastAsia" w:ascii="仿宋" w:hAnsi="仿宋" w:eastAsia="仿宋" w:cs="仿宋"/>
          <w:color w:val="auto"/>
          <w:sz w:val="32"/>
          <w:szCs w:val="32"/>
          <w:lang w:eastAsia="zh-CN"/>
        </w:rPr>
        <w:t>。</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w:t>
      </w:r>
      <w:r>
        <w:rPr>
          <w:rFonts w:ascii="仿宋" w:hAnsi="仿宋" w:eastAsia="仿宋" w:cs="仿宋"/>
          <w:color w:val="auto"/>
          <w:sz w:val="32"/>
          <w:szCs w:val="32"/>
        </w:rPr>
        <w:t>中蒙医院</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季度</w:t>
      </w:r>
      <w:r>
        <w:rPr>
          <w:rFonts w:ascii="仿宋" w:hAnsi="仿宋" w:eastAsia="仿宋" w:cs="仿宋"/>
          <w:color w:val="auto"/>
          <w:sz w:val="32"/>
          <w:szCs w:val="32"/>
        </w:rPr>
        <w:t>住院人</w:t>
      </w:r>
      <w:r>
        <w:rPr>
          <w:rFonts w:hint="eastAsia" w:ascii="仿宋" w:hAnsi="仿宋" w:eastAsia="仿宋" w:cs="仿宋"/>
          <w:color w:val="auto"/>
          <w:sz w:val="32"/>
          <w:szCs w:val="32"/>
        </w:rPr>
        <w:t>次</w:t>
      </w:r>
      <w:r>
        <w:rPr>
          <w:rFonts w:hint="eastAsia" w:ascii="仿宋" w:hAnsi="仿宋" w:eastAsia="仿宋" w:cs="仿宋"/>
          <w:color w:val="auto"/>
          <w:sz w:val="32"/>
          <w:szCs w:val="32"/>
          <w:lang w:val="en-US" w:eastAsia="zh-CN"/>
        </w:rPr>
        <w:t>减少了5.59</w:t>
      </w:r>
      <w:r>
        <w:rPr>
          <w:rFonts w:hint="eastAsia" w:ascii="仿宋" w:hAnsi="仿宋" w:eastAsia="仿宋" w:cs="仿宋"/>
          <w:color w:val="auto"/>
          <w:sz w:val="32"/>
          <w:szCs w:val="32"/>
        </w:rPr>
        <w:t>%</w:t>
      </w:r>
      <w:r>
        <w:rPr>
          <w:rFonts w:ascii="仿宋" w:hAnsi="仿宋" w:eastAsia="仿宋" w:cs="仿宋"/>
          <w:color w:val="auto"/>
          <w:sz w:val="32"/>
          <w:szCs w:val="32"/>
        </w:rPr>
        <w:t>，基金支付总额增加</w:t>
      </w:r>
      <w:r>
        <w:rPr>
          <w:rFonts w:hint="eastAsia" w:ascii="仿宋" w:hAnsi="仿宋" w:eastAsia="仿宋" w:cs="仿宋"/>
          <w:color w:val="auto"/>
          <w:sz w:val="32"/>
          <w:szCs w:val="32"/>
          <w:lang w:val="en-US" w:eastAsia="zh-CN"/>
        </w:rPr>
        <w:t>4.57</w:t>
      </w:r>
      <w:r>
        <w:rPr>
          <w:rFonts w:ascii="仿宋" w:hAnsi="仿宋" w:eastAsia="仿宋" w:cs="仿宋"/>
          <w:color w:val="auto"/>
          <w:sz w:val="32"/>
          <w:szCs w:val="32"/>
        </w:rPr>
        <w:t>%，</w:t>
      </w:r>
      <w:r>
        <w:rPr>
          <w:rFonts w:hint="eastAsia" w:ascii="仿宋" w:hAnsi="仿宋" w:eastAsia="仿宋" w:cs="仿宋"/>
          <w:color w:val="auto"/>
          <w:sz w:val="32"/>
          <w:szCs w:val="32"/>
          <w:lang w:val="en-US" w:eastAsia="zh-CN"/>
        </w:rPr>
        <w:t>次</w:t>
      </w:r>
      <w:r>
        <w:rPr>
          <w:rFonts w:ascii="仿宋" w:hAnsi="仿宋" w:eastAsia="仿宋" w:cs="仿宋"/>
          <w:color w:val="auto"/>
          <w:sz w:val="32"/>
          <w:szCs w:val="32"/>
        </w:rPr>
        <w:t>均费用增加1</w:t>
      </w:r>
      <w:r>
        <w:rPr>
          <w:rFonts w:hint="eastAsia" w:ascii="仿宋" w:hAnsi="仿宋" w:eastAsia="仿宋" w:cs="仿宋"/>
          <w:color w:val="auto"/>
          <w:sz w:val="32"/>
          <w:szCs w:val="32"/>
          <w:lang w:val="en-US" w:eastAsia="zh-CN"/>
        </w:rPr>
        <w:t>2.9</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中蒙医院</w:t>
      </w:r>
      <w:r>
        <w:rPr>
          <w:rFonts w:hint="eastAsia" w:ascii="仿宋" w:hAnsi="仿宋" w:eastAsia="仿宋" w:cs="仿宋"/>
          <w:color w:val="auto"/>
          <w:sz w:val="32"/>
          <w:szCs w:val="32"/>
        </w:rPr>
        <w:t>出现住院</w:t>
      </w:r>
      <w:r>
        <w:rPr>
          <w:rFonts w:hint="eastAsia" w:ascii="仿宋" w:hAnsi="仿宋" w:eastAsia="仿宋" w:cs="仿宋"/>
          <w:color w:val="auto"/>
          <w:sz w:val="32"/>
          <w:szCs w:val="32"/>
          <w:lang w:val="en-US" w:eastAsia="zh-CN"/>
        </w:rPr>
        <w:t>次均费用上涨趋势。</w:t>
      </w:r>
      <w:r>
        <w:rPr>
          <w:rFonts w:ascii="仿宋" w:hAnsi="仿宋" w:eastAsia="仿宋" w:cs="仿宋"/>
          <w:color w:val="auto"/>
          <w:sz w:val="32"/>
          <w:szCs w:val="32"/>
        </w:rPr>
        <w:t>门诊慢性病人数增加1</w:t>
      </w:r>
      <w:r>
        <w:rPr>
          <w:rFonts w:hint="eastAsia" w:ascii="仿宋" w:hAnsi="仿宋" w:eastAsia="仿宋" w:cs="仿宋"/>
          <w:color w:val="auto"/>
          <w:sz w:val="32"/>
          <w:szCs w:val="32"/>
          <w:lang w:val="en-US" w:eastAsia="zh-CN"/>
        </w:rPr>
        <w:t>2.27</w:t>
      </w:r>
      <w:r>
        <w:rPr>
          <w:rFonts w:hint="eastAsia" w:ascii="仿宋" w:hAnsi="仿宋" w:eastAsia="仿宋" w:cs="仿宋"/>
          <w:color w:val="auto"/>
          <w:sz w:val="32"/>
          <w:szCs w:val="32"/>
        </w:rPr>
        <w:t>%</w:t>
      </w:r>
      <w:r>
        <w:rPr>
          <w:rFonts w:ascii="仿宋" w:hAnsi="仿宋" w:eastAsia="仿宋" w:cs="仿宋"/>
          <w:color w:val="auto"/>
          <w:sz w:val="32"/>
          <w:szCs w:val="32"/>
        </w:rPr>
        <w:t>，基金支付总额减少</w:t>
      </w:r>
      <w:r>
        <w:rPr>
          <w:rFonts w:hint="eastAsia" w:ascii="仿宋" w:hAnsi="仿宋" w:eastAsia="仿宋" w:cs="仿宋"/>
          <w:color w:val="auto"/>
          <w:sz w:val="32"/>
          <w:szCs w:val="32"/>
          <w:lang w:val="en-US" w:eastAsia="zh-CN"/>
        </w:rPr>
        <w:t>36.57</w:t>
      </w:r>
      <w:r>
        <w:rPr>
          <w:rFonts w:hint="eastAsia" w:ascii="仿宋" w:hAnsi="仿宋" w:eastAsia="仿宋" w:cs="仿宋"/>
          <w:color w:val="auto"/>
          <w:sz w:val="32"/>
          <w:szCs w:val="32"/>
        </w:rPr>
        <w:t>%</w:t>
      </w:r>
      <w:r>
        <w:rPr>
          <w:rFonts w:ascii="仿宋" w:hAnsi="仿宋" w:eastAsia="仿宋" w:cs="仿宋"/>
          <w:color w:val="auto"/>
          <w:sz w:val="32"/>
          <w:szCs w:val="32"/>
        </w:rPr>
        <w:t>，</w:t>
      </w:r>
      <w:r>
        <w:rPr>
          <w:rFonts w:hint="eastAsia" w:ascii="仿宋" w:hAnsi="仿宋" w:eastAsia="仿宋" w:cs="仿宋"/>
          <w:color w:val="auto"/>
          <w:sz w:val="32"/>
          <w:szCs w:val="32"/>
        </w:rPr>
        <w:t>次</w:t>
      </w:r>
      <w:r>
        <w:rPr>
          <w:rFonts w:ascii="仿宋" w:hAnsi="仿宋" w:eastAsia="仿宋" w:cs="仿宋"/>
          <w:color w:val="auto"/>
          <w:sz w:val="32"/>
          <w:szCs w:val="32"/>
        </w:rPr>
        <w:t>均费用减少</w:t>
      </w:r>
      <w:r>
        <w:rPr>
          <w:rFonts w:hint="eastAsia" w:ascii="仿宋" w:hAnsi="仿宋" w:eastAsia="仿宋" w:cs="仿宋"/>
          <w:color w:val="auto"/>
          <w:sz w:val="32"/>
          <w:szCs w:val="32"/>
          <w:lang w:val="en-US" w:eastAsia="zh-CN"/>
        </w:rPr>
        <w:t>50</w:t>
      </w:r>
      <w:r>
        <w:rPr>
          <w:rFonts w:ascii="仿宋" w:hAnsi="仿宋" w:eastAsia="仿宋" w:cs="仿宋"/>
          <w:color w:val="auto"/>
          <w:sz w:val="32"/>
          <w:szCs w:val="32"/>
        </w:rPr>
        <w:t>%，</w:t>
      </w:r>
      <w:r>
        <w:rPr>
          <w:rFonts w:hint="eastAsia" w:ascii="仿宋" w:hAnsi="仿宋" w:eastAsia="仿宋" w:cs="仿宋"/>
          <w:color w:val="auto"/>
          <w:sz w:val="32"/>
          <w:szCs w:val="32"/>
        </w:rPr>
        <w:t>原因与开展职工门诊统筹相关；</w:t>
      </w:r>
      <w:r>
        <w:rPr>
          <w:rFonts w:ascii="仿宋" w:hAnsi="仿宋" w:eastAsia="仿宋" w:cs="仿宋"/>
          <w:color w:val="auto"/>
          <w:sz w:val="32"/>
          <w:szCs w:val="32"/>
        </w:rPr>
        <w:t>职工门诊统筹报销人数</w:t>
      </w:r>
      <w:r>
        <w:rPr>
          <w:rFonts w:hint="eastAsia" w:ascii="仿宋" w:hAnsi="仿宋" w:eastAsia="仿宋" w:cs="仿宋"/>
          <w:color w:val="auto"/>
          <w:sz w:val="32"/>
          <w:szCs w:val="32"/>
          <w:lang w:val="en-US" w:eastAsia="zh-CN"/>
        </w:rPr>
        <w:t>2301</w:t>
      </w:r>
      <w:r>
        <w:rPr>
          <w:rFonts w:ascii="仿宋" w:hAnsi="仿宋" w:eastAsia="仿宋" w:cs="仿宋"/>
          <w:color w:val="auto"/>
          <w:sz w:val="32"/>
          <w:szCs w:val="32"/>
        </w:rPr>
        <w:t>人，基金支付总额</w:t>
      </w:r>
      <w:r>
        <w:rPr>
          <w:rFonts w:hint="eastAsia" w:ascii="仿宋" w:hAnsi="仿宋" w:eastAsia="仿宋" w:cs="仿宋"/>
          <w:color w:val="auto"/>
          <w:sz w:val="32"/>
          <w:szCs w:val="32"/>
          <w:lang w:val="en-US" w:eastAsia="zh-CN"/>
        </w:rPr>
        <w:t>49.55</w:t>
      </w:r>
      <w:r>
        <w:rPr>
          <w:rFonts w:ascii="仿宋" w:hAnsi="仿宋" w:eastAsia="仿宋" w:cs="仿宋"/>
          <w:color w:val="auto"/>
          <w:sz w:val="32"/>
          <w:szCs w:val="32"/>
        </w:rPr>
        <w:t>万元</w:t>
      </w:r>
      <w:r>
        <w:rPr>
          <w:rFonts w:hint="eastAsia" w:ascii="仿宋" w:hAnsi="仿宋" w:eastAsia="仿宋" w:cs="仿宋"/>
          <w:color w:val="auto"/>
          <w:sz w:val="32"/>
          <w:szCs w:val="32"/>
        </w:rPr>
        <w:t>，因无同期比对数据，故不做具体分析，存在问题将在基金监管做具体阐述。</w:t>
      </w:r>
    </w:p>
    <w:p>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爱德医院住院人次、医疗费用总额、统筹基金支付费用及次均支付费用均出现大幅下降趋势，考虑与开展DIP支付结算有关，院方主动控费意识增强，DIP支付改革运行较平稳有序；门诊慢性病人数、医疗费用及次均支付费用均出现大幅上涨趋势与其地理位置优势及群众知晓率不断提升息息相关。</w:t>
      </w:r>
    </w:p>
    <w:p>
      <w:pPr>
        <w:spacing w:line="560" w:lineRule="exact"/>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4.仁合医院住院人次、基金支付总额均出现大幅上涨情况，与对其进行实地督导。</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.通辽市</w:t>
      </w:r>
      <w:r>
        <w:rPr>
          <w:rFonts w:hint="eastAsia" w:ascii="仿宋" w:hAnsi="仿宋" w:eastAsia="仿宋" w:cs="仿宋"/>
          <w:color w:val="auto"/>
          <w:sz w:val="32"/>
          <w:szCs w:val="32"/>
          <w:lang w:val="en-US" w:eastAsia="zh-CN"/>
        </w:rPr>
        <w:t>域内</w:t>
      </w:r>
      <w:r>
        <w:rPr>
          <w:rFonts w:hint="eastAsia" w:ascii="仿宋" w:hAnsi="仿宋" w:eastAsia="仿宋" w:cs="仿宋"/>
          <w:color w:val="auto"/>
          <w:sz w:val="32"/>
          <w:szCs w:val="32"/>
        </w:rPr>
        <w:t>住院人数</w:t>
      </w:r>
      <w:r>
        <w:rPr>
          <w:rFonts w:hint="eastAsia" w:ascii="仿宋" w:hAnsi="仿宋" w:eastAsia="仿宋" w:cs="仿宋"/>
          <w:color w:val="auto"/>
          <w:sz w:val="32"/>
          <w:szCs w:val="32"/>
          <w:lang w:val="en-US" w:eastAsia="zh-CN"/>
        </w:rPr>
        <w:t>同比增长4.97</w:t>
      </w:r>
      <w:r>
        <w:rPr>
          <w:rFonts w:hint="eastAsia" w:ascii="仿宋" w:hAnsi="仿宋" w:eastAsia="仿宋" w:cs="仿宋"/>
          <w:color w:val="auto"/>
          <w:sz w:val="32"/>
          <w:szCs w:val="32"/>
        </w:rPr>
        <w:t>%，基金支出增长</w:t>
      </w:r>
      <w:r>
        <w:rPr>
          <w:rFonts w:hint="eastAsia" w:ascii="仿宋" w:hAnsi="仿宋" w:eastAsia="仿宋" w:cs="仿宋"/>
          <w:color w:val="auto"/>
          <w:sz w:val="32"/>
          <w:szCs w:val="32"/>
          <w:lang w:val="en-US" w:eastAsia="zh-CN"/>
        </w:rPr>
        <w:t>5.88</w:t>
      </w:r>
      <w:r>
        <w:rPr>
          <w:rFonts w:hint="eastAsia" w:ascii="仿宋" w:hAnsi="仿宋" w:eastAsia="仿宋" w:cs="仿宋"/>
          <w:color w:val="auto"/>
          <w:sz w:val="32"/>
          <w:szCs w:val="32"/>
        </w:rPr>
        <w:t>%，次均费用</w:t>
      </w:r>
      <w:r>
        <w:rPr>
          <w:rFonts w:hint="eastAsia" w:ascii="仿宋" w:hAnsi="仿宋" w:eastAsia="仿宋" w:cs="仿宋"/>
          <w:color w:val="auto"/>
          <w:sz w:val="32"/>
          <w:szCs w:val="32"/>
          <w:lang w:val="en-US" w:eastAsia="zh-CN"/>
        </w:rPr>
        <w:t>持平</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与22年同期比较涨幅不大。</w:t>
      </w:r>
      <w:r>
        <w:rPr>
          <w:rFonts w:hint="eastAsia" w:ascii="仿宋" w:hAnsi="仿宋" w:eastAsia="仿宋" w:cs="仿宋"/>
          <w:color w:val="auto"/>
          <w:sz w:val="32"/>
          <w:szCs w:val="32"/>
        </w:rPr>
        <w:t>转外住院人数</w:t>
      </w:r>
      <w:r>
        <w:rPr>
          <w:rFonts w:hint="eastAsia" w:ascii="仿宋" w:hAnsi="仿宋" w:eastAsia="仿宋" w:cs="仿宋"/>
          <w:color w:val="auto"/>
          <w:sz w:val="32"/>
          <w:szCs w:val="32"/>
          <w:lang w:val="en-US" w:eastAsia="zh-CN"/>
        </w:rPr>
        <w:t>增长了63.14</w:t>
      </w:r>
      <w:r>
        <w:rPr>
          <w:rFonts w:hint="eastAsia" w:ascii="仿宋" w:hAnsi="仿宋" w:eastAsia="仿宋" w:cs="仿宋"/>
          <w:color w:val="auto"/>
          <w:sz w:val="32"/>
          <w:szCs w:val="32"/>
        </w:rPr>
        <w:t>%，基金支出</w:t>
      </w:r>
      <w:r>
        <w:rPr>
          <w:rFonts w:hint="eastAsia" w:ascii="仿宋" w:hAnsi="仿宋" w:eastAsia="仿宋" w:cs="仿宋"/>
          <w:color w:val="auto"/>
          <w:sz w:val="32"/>
          <w:szCs w:val="32"/>
          <w:lang w:val="en-US" w:eastAsia="zh-CN"/>
        </w:rPr>
        <w:t>增长42.46</w:t>
      </w:r>
      <w:r>
        <w:rPr>
          <w:rFonts w:hint="eastAsia" w:ascii="仿宋" w:hAnsi="仿宋" w:eastAsia="仿宋" w:cs="仿宋"/>
          <w:color w:val="auto"/>
          <w:sz w:val="32"/>
          <w:szCs w:val="32"/>
        </w:rPr>
        <w:t>%，次均费用降低</w:t>
      </w:r>
      <w:r>
        <w:rPr>
          <w:rFonts w:hint="eastAsia" w:ascii="仿宋" w:hAnsi="仿宋" w:eastAsia="仿宋" w:cs="仿宋"/>
          <w:color w:val="auto"/>
          <w:sz w:val="32"/>
          <w:szCs w:val="32"/>
          <w:lang w:val="en-US" w:eastAsia="zh-CN"/>
        </w:rPr>
        <w:t>12.9</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分析原因转外就诊人数增长较多与不受出行限制有关，大部分人都选择医疗水平和条件较好的医疗机构就医</w:t>
      </w:r>
      <w:r>
        <w:rPr>
          <w:rFonts w:hint="eastAsia" w:ascii="仿宋" w:hAnsi="仿宋" w:eastAsia="仿宋" w:cs="仿宋"/>
          <w:color w:val="auto"/>
          <w:sz w:val="32"/>
          <w:szCs w:val="32"/>
        </w:rPr>
        <w:t>。</w:t>
      </w:r>
    </w:p>
    <w:p>
      <w:pPr>
        <w:spacing w:line="560" w:lineRule="exact"/>
        <w:ind w:firstLine="643" w:firstLineChars="200"/>
        <w:rPr>
          <w:rFonts w:ascii="黑体" w:hAnsi="黑体" w:eastAsia="黑体" w:cs="黑体"/>
          <w:b/>
          <w:bCs/>
          <w:color w:val="auto"/>
          <w:sz w:val="32"/>
          <w:szCs w:val="32"/>
        </w:rPr>
      </w:pPr>
      <w:r>
        <w:rPr>
          <w:rFonts w:hint="eastAsia" w:ascii="黑体" w:hAnsi="黑体" w:eastAsia="黑体" w:cs="黑体"/>
          <w:b/>
          <w:bCs/>
          <w:color w:val="auto"/>
          <w:sz w:val="32"/>
          <w:szCs w:val="32"/>
          <w:lang w:val="en-US" w:eastAsia="zh-CN"/>
        </w:rPr>
        <w:t>四</w:t>
      </w:r>
      <w:r>
        <w:rPr>
          <w:rFonts w:hint="eastAsia" w:ascii="黑体" w:hAnsi="黑体" w:eastAsia="黑体" w:cs="黑体"/>
          <w:b/>
          <w:bCs/>
          <w:color w:val="auto"/>
          <w:sz w:val="32"/>
          <w:szCs w:val="32"/>
        </w:rPr>
        <w:t>、生育医疗费支出情况</w:t>
      </w:r>
    </w:p>
    <w:tbl>
      <w:tblPr>
        <w:tblStyle w:val="6"/>
        <w:tblpPr w:leftFromText="180" w:rightFromText="180" w:vertAnchor="text" w:horzAnchor="page" w:tblpX="1525" w:tblpY="138"/>
        <w:tblOverlap w:val="never"/>
        <w:tblW w:w="9244" w:type="dxa"/>
        <w:tblInd w:w="0" w:type="dxa"/>
        <w:tblLayout w:type="fixed"/>
        <w:tblCellMar>
          <w:top w:w="0" w:type="dxa"/>
          <w:left w:w="108" w:type="dxa"/>
          <w:bottom w:w="0" w:type="dxa"/>
          <w:right w:w="108" w:type="dxa"/>
        </w:tblCellMar>
      </w:tblPr>
      <w:tblGrid>
        <w:gridCol w:w="1383"/>
        <w:gridCol w:w="969"/>
        <w:gridCol w:w="1012"/>
        <w:gridCol w:w="1121"/>
        <w:gridCol w:w="1395"/>
        <w:gridCol w:w="1080"/>
        <w:gridCol w:w="1020"/>
        <w:gridCol w:w="1264"/>
      </w:tblGrid>
      <w:tr>
        <w:tblPrEx>
          <w:tblCellMar>
            <w:top w:w="0" w:type="dxa"/>
            <w:left w:w="108" w:type="dxa"/>
            <w:bottom w:w="0" w:type="dxa"/>
            <w:right w:w="108" w:type="dxa"/>
          </w:tblCellMar>
        </w:tblPrEx>
        <w:trPr>
          <w:trHeight w:val="606" w:hRule="atLeast"/>
        </w:trPr>
        <w:tc>
          <w:tcPr>
            <w:tcW w:w="9244" w:type="dxa"/>
            <w:gridSpan w:val="8"/>
            <w:tcBorders>
              <w:top w:val="nil"/>
              <w:left w:val="nil"/>
              <w:bottom w:val="nil"/>
              <w:right w:val="nil"/>
            </w:tcBorders>
            <w:shd w:val="clear" w:color="auto" w:fill="auto"/>
            <w:noWrap/>
            <w:vAlign w:val="center"/>
          </w:tcPr>
          <w:p>
            <w:pPr>
              <w:widowControl/>
              <w:jc w:val="center"/>
              <w:textAlignment w:val="center"/>
              <w:rPr>
                <w:rFonts w:ascii="宋体" w:hAnsi="宋体" w:eastAsia="宋体" w:cs="宋体"/>
                <w:color w:val="auto"/>
                <w:sz w:val="48"/>
                <w:szCs w:val="48"/>
              </w:rPr>
            </w:pPr>
            <w:r>
              <w:rPr>
                <w:rFonts w:hint="eastAsia" w:ascii="宋体" w:hAnsi="宋体" w:eastAsia="宋体" w:cs="宋体"/>
                <w:color w:val="auto"/>
                <w:kern w:val="0"/>
                <w:sz w:val="48"/>
                <w:szCs w:val="48"/>
              </w:rPr>
              <w:t>生育医疗费支出情况</w:t>
            </w:r>
          </w:p>
        </w:tc>
      </w:tr>
      <w:tr>
        <w:tblPrEx>
          <w:tblCellMar>
            <w:top w:w="0" w:type="dxa"/>
            <w:left w:w="108" w:type="dxa"/>
            <w:bottom w:w="0" w:type="dxa"/>
            <w:right w:w="108" w:type="dxa"/>
          </w:tblCellMar>
        </w:tblPrEx>
        <w:trPr>
          <w:trHeight w:val="606" w:hRule="atLeast"/>
        </w:trPr>
        <w:tc>
          <w:tcPr>
            <w:tcW w:w="9244" w:type="dxa"/>
            <w:gridSpan w:val="8"/>
            <w:tcBorders>
              <w:top w:val="nil"/>
              <w:left w:val="nil"/>
              <w:bottom w:val="nil"/>
              <w:right w:val="nil"/>
            </w:tcBorders>
            <w:shd w:val="clear" w:color="auto" w:fill="auto"/>
            <w:noWrap/>
            <w:vAlign w:val="center"/>
          </w:tcPr>
          <w:p>
            <w:pPr>
              <w:widowControl/>
              <w:jc w:val="center"/>
              <w:textAlignment w:val="center"/>
              <w:rPr>
                <w:rFonts w:ascii="宋体" w:hAnsi="宋体" w:eastAsia="宋体" w:cs="宋体"/>
                <w:color w:val="auto"/>
                <w:sz w:val="32"/>
                <w:szCs w:val="32"/>
              </w:rPr>
            </w:pPr>
            <w:r>
              <w:rPr>
                <w:rFonts w:hint="eastAsia" w:ascii="宋体" w:hAnsi="宋体" w:eastAsia="宋体" w:cs="宋体"/>
                <w:color w:val="auto"/>
                <w:kern w:val="0"/>
                <w:sz w:val="32"/>
                <w:szCs w:val="32"/>
              </w:rPr>
              <w:t xml:space="preserve">                                           单位：万元</w:t>
            </w:r>
          </w:p>
        </w:tc>
      </w:tr>
      <w:tr>
        <w:tblPrEx>
          <w:tblCellMar>
            <w:top w:w="0" w:type="dxa"/>
            <w:left w:w="108" w:type="dxa"/>
            <w:bottom w:w="0" w:type="dxa"/>
            <w:right w:w="108" w:type="dxa"/>
          </w:tblCellMar>
        </w:tblPrEx>
        <w:trPr>
          <w:trHeight w:val="598" w:hRule="atLeast"/>
        </w:trPr>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rPr>
              <w:t>年度</w:t>
            </w:r>
          </w:p>
        </w:tc>
        <w:tc>
          <w:tcPr>
            <w:tcW w:w="31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rPr>
              <w:t>生育医疗费</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rPr>
              <w:t>年度</w:t>
            </w:r>
          </w:p>
        </w:tc>
        <w:tc>
          <w:tcPr>
            <w:tcW w:w="33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rPr>
              <w:t>生育津贴</w:t>
            </w:r>
          </w:p>
        </w:tc>
      </w:tr>
      <w:tr>
        <w:tblPrEx>
          <w:tblCellMar>
            <w:top w:w="0" w:type="dxa"/>
            <w:left w:w="108" w:type="dxa"/>
            <w:bottom w:w="0" w:type="dxa"/>
            <w:right w:w="108" w:type="dxa"/>
          </w:tblCellMar>
        </w:tblPrEx>
        <w:trPr>
          <w:trHeight w:val="598" w:hRule="atLeast"/>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24"/>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rPr>
              <w:t>人数</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基金</w:t>
            </w:r>
          </w:p>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rPr>
              <w:t>支出</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次均</w:t>
            </w:r>
          </w:p>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rPr>
              <w:t>费用</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rPr>
              <w:t>人数</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基金</w:t>
            </w:r>
          </w:p>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rPr>
              <w:t>支出</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rPr>
              <w:t>次均费用</w:t>
            </w:r>
          </w:p>
        </w:tc>
      </w:tr>
      <w:tr>
        <w:tblPrEx>
          <w:tblCellMar>
            <w:top w:w="0" w:type="dxa"/>
            <w:left w:w="108" w:type="dxa"/>
            <w:bottom w:w="0" w:type="dxa"/>
            <w:right w:w="108" w:type="dxa"/>
          </w:tblCellMar>
        </w:tblPrEx>
        <w:trPr>
          <w:trHeight w:val="598"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auto"/>
                <w:sz w:val="24"/>
              </w:rPr>
            </w:pPr>
            <w:r>
              <w:rPr>
                <w:rFonts w:hint="eastAsia" w:ascii="宋体" w:hAnsi="宋体" w:eastAsia="宋体" w:cs="宋体"/>
                <w:color w:val="auto"/>
                <w:kern w:val="0"/>
                <w:sz w:val="24"/>
              </w:rPr>
              <w:t>2022(1-</w:t>
            </w:r>
            <w:r>
              <w:rPr>
                <w:rFonts w:hint="eastAsia" w:ascii="宋体" w:hAnsi="宋体" w:eastAsia="宋体" w:cs="宋体"/>
                <w:color w:val="auto"/>
                <w:kern w:val="0"/>
                <w:sz w:val="24"/>
                <w:lang w:val="en-US" w:eastAsia="zh-CN"/>
              </w:rPr>
              <w:t>6</w:t>
            </w:r>
            <w:r>
              <w:rPr>
                <w:rFonts w:hint="eastAsia" w:ascii="宋体" w:hAnsi="宋体" w:eastAsia="宋体" w:cs="宋体"/>
                <w:color w:val="auto"/>
                <w:kern w:val="0"/>
                <w:sz w:val="24"/>
              </w:rPr>
              <w:t>)</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390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119.96</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0.31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rPr>
              <w:t>2022(1-</w:t>
            </w:r>
            <w:r>
              <w:rPr>
                <w:rFonts w:hint="eastAsia" w:ascii="宋体" w:hAnsi="宋体" w:eastAsia="宋体" w:cs="宋体"/>
                <w:color w:val="auto"/>
                <w:kern w:val="0"/>
                <w:sz w:val="24"/>
                <w:lang w:val="en-US" w:eastAsia="zh-CN"/>
              </w:rPr>
              <w:t>6</w:t>
            </w:r>
            <w:r>
              <w:rPr>
                <w:rFonts w:hint="eastAsia" w:ascii="宋体" w:hAnsi="宋体" w:eastAsia="宋体" w:cs="宋体"/>
                <w:color w:val="auto"/>
                <w:kern w:val="0"/>
                <w:sz w:val="24"/>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67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157.14</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val="en-US" w:eastAsia="zh-CN"/>
              </w:rPr>
              <w:t>2.35</w:t>
            </w:r>
            <w:r>
              <w:rPr>
                <w:rFonts w:hint="eastAsia" w:ascii="宋体" w:hAnsi="宋体" w:eastAsia="宋体" w:cs="宋体"/>
                <w:color w:val="auto"/>
                <w:kern w:val="0"/>
                <w:sz w:val="24"/>
              </w:rPr>
              <w:t xml:space="preserve"> </w:t>
            </w:r>
          </w:p>
        </w:tc>
      </w:tr>
      <w:tr>
        <w:tblPrEx>
          <w:tblCellMar>
            <w:top w:w="0" w:type="dxa"/>
            <w:left w:w="108" w:type="dxa"/>
            <w:bottom w:w="0" w:type="dxa"/>
            <w:right w:w="108" w:type="dxa"/>
          </w:tblCellMar>
        </w:tblPrEx>
        <w:trPr>
          <w:trHeight w:val="598"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auto"/>
                <w:sz w:val="24"/>
              </w:rPr>
            </w:pPr>
            <w:r>
              <w:rPr>
                <w:rFonts w:hint="eastAsia" w:ascii="宋体" w:hAnsi="宋体" w:eastAsia="宋体" w:cs="宋体"/>
                <w:color w:val="auto"/>
                <w:kern w:val="0"/>
                <w:sz w:val="24"/>
              </w:rPr>
              <w:t>2023(1-</w:t>
            </w:r>
            <w:r>
              <w:rPr>
                <w:rFonts w:hint="eastAsia" w:ascii="宋体" w:hAnsi="宋体" w:eastAsia="宋体" w:cs="宋体"/>
                <w:color w:val="auto"/>
                <w:kern w:val="0"/>
                <w:sz w:val="24"/>
                <w:lang w:val="en-US" w:eastAsia="zh-CN"/>
              </w:rPr>
              <w:t>6</w:t>
            </w:r>
            <w:r>
              <w:rPr>
                <w:rFonts w:hint="eastAsia" w:ascii="宋体" w:hAnsi="宋体" w:eastAsia="宋体" w:cs="宋体"/>
                <w:color w:val="auto"/>
                <w:kern w:val="0"/>
                <w:sz w:val="24"/>
              </w:rPr>
              <w:t>)</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437</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136.28</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0.31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rPr>
              <w:t>2023(1-</w:t>
            </w:r>
            <w:r>
              <w:rPr>
                <w:rFonts w:hint="eastAsia" w:ascii="宋体" w:hAnsi="宋体" w:eastAsia="宋体" w:cs="宋体"/>
                <w:color w:val="auto"/>
                <w:kern w:val="0"/>
                <w:sz w:val="24"/>
                <w:lang w:val="en-US" w:eastAsia="zh-CN"/>
              </w:rPr>
              <w:t>6</w:t>
            </w:r>
            <w:r>
              <w:rPr>
                <w:rFonts w:hint="eastAsia" w:ascii="宋体" w:hAnsi="宋体" w:eastAsia="宋体" w:cs="宋体"/>
                <w:color w:val="auto"/>
                <w:kern w:val="0"/>
                <w:sz w:val="24"/>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87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223.43</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val="en-US" w:eastAsia="zh-CN"/>
              </w:rPr>
              <w:t>2.57</w:t>
            </w:r>
            <w:r>
              <w:rPr>
                <w:rFonts w:hint="eastAsia" w:ascii="宋体" w:hAnsi="宋体" w:eastAsia="宋体" w:cs="宋体"/>
                <w:color w:val="auto"/>
                <w:kern w:val="0"/>
                <w:sz w:val="24"/>
              </w:rPr>
              <w:t xml:space="preserve"> </w:t>
            </w:r>
          </w:p>
        </w:tc>
      </w:tr>
      <w:tr>
        <w:tblPrEx>
          <w:tblCellMar>
            <w:top w:w="0" w:type="dxa"/>
            <w:left w:w="108" w:type="dxa"/>
            <w:bottom w:w="0" w:type="dxa"/>
            <w:right w:w="108" w:type="dxa"/>
          </w:tblCellMar>
        </w:tblPrEx>
        <w:trPr>
          <w:trHeight w:val="617"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auto"/>
                <w:sz w:val="24"/>
              </w:rPr>
            </w:pPr>
            <w:r>
              <w:rPr>
                <w:rFonts w:hint="eastAsia" w:ascii="宋体" w:hAnsi="宋体" w:eastAsia="宋体" w:cs="宋体"/>
                <w:color w:val="auto"/>
                <w:kern w:val="0"/>
                <w:sz w:val="24"/>
              </w:rPr>
              <w:t>增减幅度</w:t>
            </w:r>
          </w:p>
        </w:tc>
        <w:tc>
          <w:tcPr>
            <w:tcW w:w="969"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12.05%</w:t>
            </w:r>
          </w:p>
        </w:tc>
        <w:tc>
          <w:tcPr>
            <w:tcW w:w="1012"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13.6%</w:t>
            </w:r>
          </w:p>
        </w:tc>
        <w:tc>
          <w:tcPr>
            <w:tcW w:w="1121"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rPr>
            </w:pPr>
          </w:p>
        </w:tc>
        <w:tc>
          <w:tcPr>
            <w:tcW w:w="1395" w:type="dxa"/>
            <w:tcBorders>
              <w:top w:val="nil"/>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宋体" w:hAnsi="宋体" w:eastAsia="宋体" w:cs="宋体"/>
                <w:color w:val="auto"/>
                <w:sz w:val="24"/>
                <w:highlight w:val="yellow"/>
              </w:rPr>
            </w:pPr>
            <w:r>
              <w:rPr>
                <w:rFonts w:hint="eastAsia" w:ascii="宋体" w:hAnsi="宋体" w:eastAsia="宋体" w:cs="宋体"/>
                <w:color w:val="auto"/>
                <w:kern w:val="0"/>
                <w:sz w:val="24"/>
              </w:rPr>
              <w:t>增减幅度</w:t>
            </w:r>
          </w:p>
        </w:tc>
        <w:tc>
          <w:tcPr>
            <w:tcW w:w="1080" w:type="dxa"/>
            <w:tcBorders>
              <w:top w:val="nil"/>
              <w:left w:val="single" w:color="auto" w:sz="4" w:space="0"/>
              <w:bottom w:val="single" w:color="000000" w:sz="4" w:space="0"/>
              <w:right w:val="single" w:color="auto" w:sz="4" w:space="0"/>
            </w:tcBorders>
            <w:shd w:val="clear" w:color="auto" w:fill="auto"/>
            <w:noWrap/>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29.85%</w:t>
            </w:r>
          </w:p>
        </w:tc>
        <w:tc>
          <w:tcPr>
            <w:tcW w:w="1020" w:type="dxa"/>
            <w:tcBorders>
              <w:top w:val="nil"/>
              <w:left w:val="single" w:color="auto"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42.19%</w:t>
            </w:r>
          </w:p>
        </w:tc>
        <w:tc>
          <w:tcPr>
            <w:tcW w:w="126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9.36%</w:t>
            </w:r>
          </w:p>
        </w:tc>
      </w:tr>
    </w:tbl>
    <w:p>
      <w:pPr>
        <w:spacing w:line="560" w:lineRule="exact"/>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生育医疗费就诊人数</w:t>
      </w:r>
      <w:r>
        <w:rPr>
          <w:rFonts w:hint="eastAsia" w:ascii="仿宋" w:hAnsi="仿宋" w:eastAsia="仿宋" w:cs="仿宋"/>
          <w:color w:val="auto"/>
          <w:sz w:val="32"/>
          <w:szCs w:val="32"/>
          <w:lang w:val="en-US" w:eastAsia="zh-CN"/>
        </w:rPr>
        <w:t>和</w:t>
      </w:r>
      <w:r>
        <w:rPr>
          <w:rFonts w:hint="eastAsia" w:ascii="仿宋" w:hAnsi="仿宋" w:eastAsia="仿宋" w:cs="仿宋"/>
          <w:color w:val="auto"/>
          <w:sz w:val="32"/>
          <w:szCs w:val="32"/>
        </w:rPr>
        <w:t>基金支付都</w:t>
      </w:r>
      <w:r>
        <w:rPr>
          <w:rFonts w:hint="eastAsia" w:ascii="仿宋" w:hAnsi="仿宋" w:eastAsia="仿宋" w:cs="仿宋"/>
          <w:color w:val="auto"/>
          <w:sz w:val="32"/>
          <w:szCs w:val="32"/>
          <w:lang w:val="en-US" w:eastAsia="zh-CN"/>
        </w:rPr>
        <w:t>正常增长</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次均费用持平。生育津贴人数及基金支出增长较大，分别是29.85%和42.19%，次均费用也增长了9.36%</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分析原因是因2023年职工缴费基数较22年有所上调，生育津贴基数也随之增长，所以次均费用会比2022年增加。</w:t>
      </w:r>
    </w:p>
    <w:p>
      <w:pPr>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五、城乡居民医保基金使用情况、医疗救助基金使用况</w:t>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86"/>
        <w:gridCol w:w="525"/>
        <w:gridCol w:w="726"/>
        <w:gridCol w:w="811"/>
        <w:gridCol w:w="811"/>
        <w:gridCol w:w="757"/>
        <w:gridCol w:w="757"/>
        <w:gridCol w:w="479"/>
        <w:gridCol w:w="226"/>
        <w:gridCol w:w="424"/>
        <w:gridCol w:w="279"/>
        <w:gridCol w:w="757"/>
        <w:gridCol w:w="564"/>
        <w:gridCol w:w="622"/>
        <w:gridCol w:w="565"/>
        <w:gridCol w:w="5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9196" w:type="dxa"/>
            <w:gridSpan w:val="16"/>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48"/>
                <w:szCs w:val="4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sz w:val="48"/>
                <w:szCs w:val="48"/>
                <w:u w:val="none"/>
              </w:rPr>
            </w:pPr>
            <w:r>
              <w:rPr>
                <w:rFonts w:hint="eastAsia" w:ascii="宋体" w:hAnsi="宋体" w:eastAsia="宋体" w:cs="宋体"/>
                <w:i w:val="0"/>
                <w:iCs w:val="0"/>
                <w:color w:val="auto"/>
                <w:kern w:val="0"/>
                <w:sz w:val="48"/>
                <w:szCs w:val="48"/>
                <w:u w:val="none"/>
                <w:lang w:val="en-US" w:eastAsia="zh-CN" w:bidi="ar"/>
              </w:rPr>
              <w:t>城乡居民医保基金支出分析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trPr>
        <w:tc>
          <w:tcPr>
            <w:tcW w:w="386" w:type="dxa"/>
            <w:tcBorders>
              <w:top w:val="nil"/>
              <w:left w:val="nil"/>
              <w:bottom w:val="single" w:color="000000" w:sz="8" w:space="0"/>
              <w:right w:val="nil"/>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525"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726"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auto"/>
                <w:sz w:val="21"/>
                <w:szCs w:val="21"/>
                <w:u w:val="none"/>
              </w:rPr>
            </w:pPr>
          </w:p>
        </w:tc>
        <w:tc>
          <w:tcPr>
            <w:tcW w:w="811"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auto"/>
                <w:sz w:val="21"/>
                <w:szCs w:val="21"/>
                <w:u w:val="none"/>
              </w:rPr>
            </w:pPr>
          </w:p>
        </w:tc>
        <w:tc>
          <w:tcPr>
            <w:tcW w:w="811"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auto"/>
                <w:sz w:val="21"/>
                <w:szCs w:val="21"/>
                <w:u w:val="none"/>
              </w:rPr>
            </w:pPr>
          </w:p>
        </w:tc>
        <w:tc>
          <w:tcPr>
            <w:tcW w:w="757"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auto"/>
                <w:sz w:val="21"/>
                <w:szCs w:val="21"/>
                <w:u w:val="none"/>
              </w:rPr>
            </w:pPr>
          </w:p>
        </w:tc>
        <w:tc>
          <w:tcPr>
            <w:tcW w:w="757"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auto"/>
                <w:sz w:val="21"/>
                <w:szCs w:val="21"/>
                <w:u w:val="none"/>
              </w:rPr>
            </w:pPr>
          </w:p>
        </w:tc>
        <w:tc>
          <w:tcPr>
            <w:tcW w:w="479"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auto"/>
                <w:sz w:val="21"/>
                <w:szCs w:val="21"/>
                <w:u w:val="none"/>
              </w:rPr>
            </w:pPr>
          </w:p>
        </w:tc>
        <w:tc>
          <w:tcPr>
            <w:tcW w:w="650"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iCs w:val="0"/>
                <w:color w:val="auto"/>
                <w:sz w:val="21"/>
                <w:szCs w:val="21"/>
                <w:u w:val="none"/>
              </w:rPr>
            </w:pPr>
          </w:p>
        </w:tc>
        <w:tc>
          <w:tcPr>
            <w:tcW w:w="1036"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iCs w:val="0"/>
                <w:color w:val="auto"/>
                <w:sz w:val="21"/>
                <w:szCs w:val="21"/>
                <w:u w:val="none"/>
              </w:rPr>
            </w:pPr>
          </w:p>
        </w:tc>
        <w:tc>
          <w:tcPr>
            <w:tcW w:w="2258" w:type="dxa"/>
            <w:gridSpan w:val="4"/>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30"/>
                <w:szCs w:val="30"/>
                <w:u w:val="none"/>
              </w:rPr>
            </w:pPr>
            <w:r>
              <w:rPr>
                <w:rStyle w:val="11"/>
                <w:color w:val="auto"/>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4" w:hRule="atLeast"/>
        </w:trPr>
        <w:tc>
          <w:tcPr>
            <w:tcW w:w="386" w:type="dxa"/>
            <w:tcBorders>
              <w:top w:val="nil"/>
              <w:left w:val="single" w:color="000000" w:sz="8" w:space="0"/>
              <w:bottom w:val="nil"/>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医疗机构名称</w:t>
            </w:r>
          </w:p>
        </w:tc>
        <w:tc>
          <w:tcPr>
            <w:tcW w:w="525"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统计时间</w:t>
            </w:r>
          </w:p>
        </w:tc>
        <w:tc>
          <w:tcPr>
            <w:tcW w:w="3105" w:type="dxa"/>
            <w:gridSpan w:val="4"/>
            <w:tcBorders>
              <w:top w:val="single" w:color="000000" w:sz="8" w:space="0"/>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住院</w:t>
            </w:r>
          </w:p>
        </w:tc>
        <w:tc>
          <w:tcPr>
            <w:tcW w:w="2922" w:type="dxa"/>
            <w:gridSpan w:val="6"/>
            <w:tcBorders>
              <w:top w:val="single" w:color="000000" w:sz="8" w:space="0"/>
              <w:left w:val="single" w:color="000000" w:sz="8" w:space="0"/>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门诊特慢病</w:t>
            </w:r>
          </w:p>
        </w:tc>
        <w:tc>
          <w:tcPr>
            <w:tcW w:w="2258"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医疗救助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6" w:type="dxa"/>
            <w:tcBorders>
              <w:top w:val="nil"/>
              <w:left w:val="single" w:color="000000" w:sz="8" w:space="0"/>
              <w:bottom w:val="single" w:color="auto" w:sz="4"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525" w:type="dxa"/>
            <w:tcBorders>
              <w:top w:val="nil"/>
              <w:left w:val="nil"/>
              <w:bottom w:val="single" w:color="auto"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二季度</w:t>
            </w:r>
          </w:p>
        </w:tc>
        <w:tc>
          <w:tcPr>
            <w:tcW w:w="726" w:type="dxa"/>
            <w:tcBorders>
              <w:top w:val="nil"/>
              <w:left w:val="nil"/>
              <w:bottom w:val="single" w:color="auto"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人次</w:t>
            </w:r>
          </w:p>
        </w:tc>
        <w:tc>
          <w:tcPr>
            <w:tcW w:w="811" w:type="dxa"/>
            <w:tcBorders>
              <w:top w:val="nil"/>
              <w:left w:val="nil"/>
              <w:bottom w:val="single" w:color="auto"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医疗费用总额</w:t>
            </w:r>
          </w:p>
        </w:tc>
        <w:tc>
          <w:tcPr>
            <w:tcW w:w="811" w:type="dxa"/>
            <w:tcBorders>
              <w:top w:val="nil"/>
              <w:left w:val="nil"/>
              <w:bottom w:val="single" w:color="auto"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统筹基金支付金额</w:t>
            </w:r>
          </w:p>
        </w:tc>
        <w:tc>
          <w:tcPr>
            <w:tcW w:w="757" w:type="dxa"/>
            <w:tcBorders>
              <w:top w:val="nil"/>
              <w:left w:val="nil"/>
              <w:bottom w:val="single" w:color="auto"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次均费用</w:t>
            </w:r>
          </w:p>
        </w:tc>
        <w:tc>
          <w:tcPr>
            <w:tcW w:w="757" w:type="dxa"/>
            <w:tcBorders>
              <w:top w:val="single" w:color="000000" w:sz="8" w:space="0"/>
              <w:left w:val="nil"/>
              <w:bottom w:val="single" w:color="auto"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人次</w:t>
            </w:r>
          </w:p>
        </w:tc>
        <w:tc>
          <w:tcPr>
            <w:tcW w:w="479" w:type="dxa"/>
            <w:tcBorders>
              <w:top w:val="nil"/>
              <w:left w:val="nil"/>
              <w:bottom w:val="single" w:color="auto"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医疗费用总额</w:t>
            </w:r>
          </w:p>
        </w:tc>
        <w:tc>
          <w:tcPr>
            <w:tcW w:w="650" w:type="dxa"/>
            <w:gridSpan w:val="2"/>
            <w:tcBorders>
              <w:top w:val="nil"/>
              <w:left w:val="nil"/>
              <w:bottom w:val="single" w:color="auto"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统筹基金支付金额</w:t>
            </w:r>
          </w:p>
        </w:tc>
        <w:tc>
          <w:tcPr>
            <w:tcW w:w="1036" w:type="dxa"/>
            <w:gridSpan w:val="2"/>
            <w:tcBorders>
              <w:top w:val="nil"/>
              <w:left w:val="nil"/>
              <w:bottom w:val="single" w:color="auto"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次均费用</w:t>
            </w:r>
          </w:p>
        </w:tc>
        <w:tc>
          <w:tcPr>
            <w:tcW w:w="564" w:type="dxa"/>
            <w:tcBorders>
              <w:top w:val="single" w:color="000000" w:sz="8" w:space="0"/>
              <w:left w:val="nil"/>
              <w:bottom w:val="single" w:color="auto"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人次</w:t>
            </w:r>
          </w:p>
        </w:tc>
        <w:tc>
          <w:tcPr>
            <w:tcW w:w="622" w:type="dxa"/>
            <w:tcBorders>
              <w:top w:val="nil"/>
              <w:left w:val="nil"/>
              <w:bottom w:val="single" w:color="auto"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医疗费用总额</w:t>
            </w:r>
          </w:p>
        </w:tc>
        <w:tc>
          <w:tcPr>
            <w:tcW w:w="565" w:type="dxa"/>
            <w:tcBorders>
              <w:top w:val="nil"/>
              <w:left w:val="nil"/>
              <w:bottom w:val="single" w:color="auto"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统筹基金支付金</w:t>
            </w:r>
          </w:p>
        </w:tc>
        <w:tc>
          <w:tcPr>
            <w:tcW w:w="507" w:type="dxa"/>
            <w:tcBorders>
              <w:top w:val="nil"/>
              <w:left w:val="nil"/>
              <w:bottom w:val="single" w:color="auto"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次均费用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6" w:type="dxa"/>
            <w:vMerge w:val="restart"/>
            <w:tcBorders>
              <w:top w:val="single" w:color="auto" w:sz="4" w:space="0"/>
              <w:left w:val="single" w:color="000000" w:sz="8" w:space="0"/>
              <w:bottom w:val="nil"/>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霍林郭勒市人民医院</w:t>
            </w:r>
          </w:p>
        </w:tc>
        <w:tc>
          <w:tcPr>
            <w:tcW w:w="525" w:type="dxa"/>
            <w:tcBorders>
              <w:top w:val="single" w:color="auto" w:sz="4" w:space="0"/>
              <w:left w:val="nil"/>
              <w:bottom w:val="single" w:color="auto"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2022</w:t>
            </w:r>
          </w:p>
        </w:tc>
        <w:tc>
          <w:tcPr>
            <w:tcW w:w="726" w:type="dxa"/>
            <w:tcBorders>
              <w:top w:val="single" w:color="auto" w:sz="4" w:space="0"/>
              <w:left w:val="nil"/>
              <w:bottom w:val="single" w:color="auto" w:sz="4"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1953</w:t>
            </w:r>
          </w:p>
        </w:tc>
        <w:tc>
          <w:tcPr>
            <w:tcW w:w="811" w:type="dxa"/>
            <w:tcBorders>
              <w:top w:val="single" w:color="auto" w:sz="4" w:space="0"/>
              <w:left w:val="nil"/>
              <w:bottom w:val="single" w:color="auto" w:sz="4"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966.85</w:t>
            </w:r>
          </w:p>
        </w:tc>
        <w:tc>
          <w:tcPr>
            <w:tcW w:w="811" w:type="dxa"/>
            <w:tcBorders>
              <w:top w:val="single" w:color="auto" w:sz="4" w:space="0"/>
              <w:left w:val="nil"/>
              <w:bottom w:val="single" w:color="auto" w:sz="4"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526</w:t>
            </w:r>
          </w:p>
        </w:tc>
        <w:tc>
          <w:tcPr>
            <w:tcW w:w="757" w:type="dxa"/>
            <w:tcBorders>
              <w:top w:val="single" w:color="auto" w:sz="4" w:space="0"/>
              <w:left w:val="nil"/>
              <w:bottom w:val="single" w:color="auto" w:sz="4"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0.27</w:t>
            </w:r>
          </w:p>
        </w:tc>
        <w:tc>
          <w:tcPr>
            <w:tcW w:w="757" w:type="dxa"/>
            <w:tcBorders>
              <w:top w:val="single" w:color="auto" w:sz="4" w:space="0"/>
              <w:left w:val="nil"/>
              <w:bottom w:val="single" w:color="auto" w:sz="4"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4687</w:t>
            </w:r>
          </w:p>
        </w:tc>
        <w:tc>
          <w:tcPr>
            <w:tcW w:w="705" w:type="dxa"/>
            <w:gridSpan w:val="2"/>
            <w:tcBorders>
              <w:top w:val="single" w:color="auto" w:sz="4" w:space="0"/>
              <w:left w:val="nil"/>
              <w:bottom w:val="single" w:color="auto" w:sz="4"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187.33</w:t>
            </w:r>
          </w:p>
        </w:tc>
        <w:tc>
          <w:tcPr>
            <w:tcW w:w="703" w:type="dxa"/>
            <w:gridSpan w:val="2"/>
            <w:tcBorders>
              <w:top w:val="single" w:color="auto" w:sz="4" w:space="0"/>
              <w:left w:val="nil"/>
              <w:bottom w:val="single" w:color="auto" w:sz="4"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136.99</w:t>
            </w:r>
          </w:p>
        </w:tc>
        <w:tc>
          <w:tcPr>
            <w:tcW w:w="757" w:type="dxa"/>
            <w:tcBorders>
              <w:top w:val="single" w:color="auto" w:sz="4" w:space="0"/>
              <w:left w:val="nil"/>
              <w:bottom w:val="single" w:color="auto" w:sz="4"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0.03</w:t>
            </w:r>
          </w:p>
        </w:tc>
        <w:tc>
          <w:tcPr>
            <w:tcW w:w="564" w:type="dxa"/>
            <w:tcBorders>
              <w:top w:val="single" w:color="auto" w:sz="4" w:space="0"/>
              <w:left w:val="nil"/>
              <w:bottom w:val="single" w:color="auto" w:sz="4"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622" w:type="dxa"/>
            <w:tcBorders>
              <w:top w:val="single" w:color="auto" w:sz="4" w:space="0"/>
              <w:left w:val="nil"/>
              <w:bottom w:val="single" w:color="auto" w:sz="4"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565" w:type="dxa"/>
            <w:tcBorders>
              <w:top w:val="single" w:color="auto" w:sz="4" w:space="0"/>
              <w:left w:val="nil"/>
              <w:bottom w:val="single" w:color="auto" w:sz="4"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507" w:type="dxa"/>
            <w:tcBorders>
              <w:top w:val="single" w:color="auto" w:sz="4" w:space="0"/>
              <w:left w:val="nil"/>
              <w:bottom w:val="single" w:color="auto" w:sz="4"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86"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525" w:type="dxa"/>
            <w:tcBorders>
              <w:top w:val="single" w:color="auto" w:sz="4"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2023</w:t>
            </w:r>
          </w:p>
        </w:tc>
        <w:tc>
          <w:tcPr>
            <w:tcW w:w="726" w:type="dxa"/>
            <w:tcBorders>
              <w:top w:val="single" w:color="auto" w:sz="4" w:space="0"/>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2043</w:t>
            </w:r>
          </w:p>
        </w:tc>
        <w:tc>
          <w:tcPr>
            <w:tcW w:w="811" w:type="dxa"/>
            <w:tcBorders>
              <w:top w:val="single" w:color="auto" w:sz="4" w:space="0"/>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939.37</w:t>
            </w:r>
          </w:p>
        </w:tc>
        <w:tc>
          <w:tcPr>
            <w:tcW w:w="811" w:type="dxa"/>
            <w:tcBorders>
              <w:top w:val="single" w:color="auto" w:sz="4" w:space="0"/>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531.98</w:t>
            </w:r>
          </w:p>
        </w:tc>
        <w:tc>
          <w:tcPr>
            <w:tcW w:w="757" w:type="dxa"/>
            <w:tcBorders>
              <w:top w:val="single" w:color="auto" w:sz="4" w:space="0"/>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0.26</w:t>
            </w:r>
          </w:p>
        </w:tc>
        <w:tc>
          <w:tcPr>
            <w:tcW w:w="757" w:type="dxa"/>
            <w:tcBorders>
              <w:top w:val="single" w:color="auto" w:sz="4" w:space="0"/>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5635</w:t>
            </w:r>
          </w:p>
        </w:tc>
        <w:tc>
          <w:tcPr>
            <w:tcW w:w="705" w:type="dxa"/>
            <w:gridSpan w:val="2"/>
            <w:tcBorders>
              <w:top w:val="single" w:color="auto" w:sz="4" w:space="0"/>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169.83</w:t>
            </w:r>
          </w:p>
        </w:tc>
        <w:tc>
          <w:tcPr>
            <w:tcW w:w="703" w:type="dxa"/>
            <w:gridSpan w:val="2"/>
            <w:tcBorders>
              <w:top w:val="single" w:color="auto" w:sz="4" w:space="0"/>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122.23</w:t>
            </w:r>
          </w:p>
        </w:tc>
        <w:tc>
          <w:tcPr>
            <w:tcW w:w="757" w:type="dxa"/>
            <w:tcBorders>
              <w:top w:val="single" w:color="auto" w:sz="4" w:space="0"/>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0.02</w:t>
            </w:r>
          </w:p>
        </w:tc>
        <w:tc>
          <w:tcPr>
            <w:tcW w:w="564" w:type="dxa"/>
            <w:tcBorders>
              <w:top w:val="single" w:color="auto" w:sz="4"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622" w:type="dxa"/>
            <w:tcBorders>
              <w:top w:val="single" w:color="auto" w:sz="4"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565" w:type="dxa"/>
            <w:tcBorders>
              <w:top w:val="single" w:color="auto" w:sz="4"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507" w:type="dxa"/>
            <w:tcBorders>
              <w:top w:val="single" w:color="auto" w:sz="4"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86"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525" w:type="dxa"/>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增减幅度</w:t>
            </w:r>
          </w:p>
        </w:tc>
        <w:tc>
          <w:tcPr>
            <w:tcW w:w="726"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4.61%</w:t>
            </w:r>
          </w:p>
        </w:tc>
        <w:tc>
          <w:tcPr>
            <w:tcW w:w="811" w:type="dxa"/>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-2.84%</w:t>
            </w:r>
          </w:p>
        </w:tc>
        <w:tc>
          <w:tcPr>
            <w:tcW w:w="811" w:type="dxa"/>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1.14%</w:t>
            </w:r>
          </w:p>
        </w:tc>
        <w:tc>
          <w:tcPr>
            <w:tcW w:w="757" w:type="dxa"/>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-3.32%</w:t>
            </w:r>
          </w:p>
        </w:tc>
        <w:tc>
          <w:tcPr>
            <w:tcW w:w="757" w:type="dxa"/>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20.23%</w:t>
            </w:r>
          </w:p>
        </w:tc>
        <w:tc>
          <w:tcPr>
            <w:tcW w:w="705" w:type="dxa"/>
            <w:gridSpan w:val="2"/>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-9.34%</w:t>
            </w:r>
          </w:p>
        </w:tc>
        <w:tc>
          <w:tcPr>
            <w:tcW w:w="703" w:type="dxa"/>
            <w:gridSpan w:val="2"/>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-10.77%</w:t>
            </w:r>
          </w:p>
        </w:tc>
        <w:tc>
          <w:tcPr>
            <w:tcW w:w="757" w:type="dxa"/>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-25.79%</w:t>
            </w:r>
          </w:p>
        </w:tc>
        <w:tc>
          <w:tcPr>
            <w:tcW w:w="56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6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56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507"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6"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霍林郭勒市中蒙医医院</w:t>
            </w:r>
          </w:p>
        </w:tc>
        <w:tc>
          <w:tcPr>
            <w:tcW w:w="525"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2022</w:t>
            </w:r>
          </w:p>
        </w:tc>
        <w:tc>
          <w:tcPr>
            <w:tcW w:w="726" w:type="dxa"/>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940</w:t>
            </w:r>
          </w:p>
        </w:tc>
        <w:tc>
          <w:tcPr>
            <w:tcW w:w="811" w:type="dxa"/>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355.15</w:t>
            </w:r>
          </w:p>
        </w:tc>
        <w:tc>
          <w:tcPr>
            <w:tcW w:w="811" w:type="dxa"/>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201.31</w:t>
            </w:r>
          </w:p>
        </w:tc>
        <w:tc>
          <w:tcPr>
            <w:tcW w:w="757" w:type="dxa"/>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0.21</w:t>
            </w:r>
          </w:p>
        </w:tc>
        <w:tc>
          <w:tcPr>
            <w:tcW w:w="757" w:type="dxa"/>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4262</w:t>
            </w:r>
          </w:p>
        </w:tc>
        <w:tc>
          <w:tcPr>
            <w:tcW w:w="705" w:type="dxa"/>
            <w:gridSpan w:val="2"/>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93.58</w:t>
            </w:r>
          </w:p>
        </w:tc>
        <w:tc>
          <w:tcPr>
            <w:tcW w:w="703" w:type="dxa"/>
            <w:gridSpan w:val="2"/>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56.10</w:t>
            </w:r>
          </w:p>
        </w:tc>
        <w:tc>
          <w:tcPr>
            <w:tcW w:w="757" w:type="dxa"/>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0.01</w:t>
            </w:r>
          </w:p>
        </w:tc>
        <w:tc>
          <w:tcPr>
            <w:tcW w:w="56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6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56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507"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86"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5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2023</w:t>
            </w:r>
          </w:p>
        </w:tc>
        <w:tc>
          <w:tcPr>
            <w:tcW w:w="726" w:type="dxa"/>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1089</w:t>
            </w:r>
          </w:p>
        </w:tc>
        <w:tc>
          <w:tcPr>
            <w:tcW w:w="811" w:type="dxa"/>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443.82</w:t>
            </w:r>
          </w:p>
        </w:tc>
        <w:tc>
          <w:tcPr>
            <w:tcW w:w="811" w:type="dxa"/>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270.81</w:t>
            </w:r>
          </w:p>
        </w:tc>
        <w:tc>
          <w:tcPr>
            <w:tcW w:w="757" w:type="dxa"/>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0.25</w:t>
            </w:r>
          </w:p>
        </w:tc>
        <w:tc>
          <w:tcPr>
            <w:tcW w:w="757" w:type="dxa"/>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5318</w:t>
            </w:r>
          </w:p>
        </w:tc>
        <w:tc>
          <w:tcPr>
            <w:tcW w:w="705" w:type="dxa"/>
            <w:gridSpan w:val="2"/>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96</w:t>
            </w:r>
          </w:p>
        </w:tc>
        <w:tc>
          <w:tcPr>
            <w:tcW w:w="703" w:type="dxa"/>
            <w:gridSpan w:val="2"/>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56.66</w:t>
            </w:r>
          </w:p>
        </w:tc>
        <w:tc>
          <w:tcPr>
            <w:tcW w:w="757" w:type="dxa"/>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0.01</w:t>
            </w:r>
          </w:p>
        </w:tc>
        <w:tc>
          <w:tcPr>
            <w:tcW w:w="56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6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56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507"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86"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525" w:type="dxa"/>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增减幅度</w:t>
            </w:r>
          </w:p>
        </w:tc>
        <w:tc>
          <w:tcPr>
            <w:tcW w:w="726" w:type="dxa"/>
            <w:tcBorders>
              <w:top w:val="nil"/>
              <w:left w:val="single" w:color="000000" w:sz="8" w:space="0"/>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15.85%</w:t>
            </w:r>
          </w:p>
        </w:tc>
        <w:tc>
          <w:tcPr>
            <w:tcW w:w="811" w:type="dxa"/>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24.97%</w:t>
            </w:r>
          </w:p>
        </w:tc>
        <w:tc>
          <w:tcPr>
            <w:tcW w:w="811" w:type="dxa"/>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34.52%</w:t>
            </w:r>
          </w:p>
        </w:tc>
        <w:tc>
          <w:tcPr>
            <w:tcW w:w="757" w:type="dxa"/>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16.12%</w:t>
            </w:r>
          </w:p>
        </w:tc>
        <w:tc>
          <w:tcPr>
            <w:tcW w:w="757" w:type="dxa"/>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24.78%</w:t>
            </w:r>
          </w:p>
        </w:tc>
        <w:tc>
          <w:tcPr>
            <w:tcW w:w="705" w:type="dxa"/>
            <w:gridSpan w:val="2"/>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2.59%</w:t>
            </w:r>
          </w:p>
        </w:tc>
        <w:tc>
          <w:tcPr>
            <w:tcW w:w="703" w:type="dxa"/>
            <w:gridSpan w:val="2"/>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1%</w:t>
            </w:r>
          </w:p>
        </w:tc>
        <w:tc>
          <w:tcPr>
            <w:tcW w:w="757"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6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6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56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507"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6" w:type="dxa"/>
            <w:vMerge w:val="restart"/>
            <w:tcBorders>
              <w:top w:val="nil"/>
              <w:left w:val="single" w:color="000000" w:sz="8" w:space="0"/>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霍林郭勒爱德医院</w:t>
            </w:r>
          </w:p>
        </w:tc>
        <w:tc>
          <w:tcPr>
            <w:tcW w:w="5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2022</w:t>
            </w:r>
          </w:p>
        </w:tc>
        <w:tc>
          <w:tcPr>
            <w:tcW w:w="726" w:type="dxa"/>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100</w:t>
            </w:r>
          </w:p>
        </w:tc>
        <w:tc>
          <w:tcPr>
            <w:tcW w:w="811" w:type="dxa"/>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31.27</w:t>
            </w:r>
          </w:p>
        </w:tc>
        <w:tc>
          <w:tcPr>
            <w:tcW w:w="811" w:type="dxa"/>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16.67</w:t>
            </w:r>
          </w:p>
        </w:tc>
        <w:tc>
          <w:tcPr>
            <w:tcW w:w="757" w:type="dxa"/>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0.17</w:t>
            </w:r>
          </w:p>
        </w:tc>
        <w:tc>
          <w:tcPr>
            <w:tcW w:w="757" w:type="dxa"/>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51</w:t>
            </w:r>
          </w:p>
        </w:tc>
        <w:tc>
          <w:tcPr>
            <w:tcW w:w="705" w:type="dxa"/>
            <w:gridSpan w:val="2"/>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9.56</w:t>
            </w:r>
          </w:p>
        </w:tc>
        <w:tc>
          <w:tcPr>
            <w:tcW w:w="703" w:type="dxa"/>
            <w:gridSpan w:val="2"/>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7.19</w:t>
            </w:r>
          </w:p>
        </w:tc>
        <w:tc>
          <w:tcPr>
            <w:tcW w:w="757" w:type="dxa"/>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0.14</w:t>
            </w:r>
          </w:p>
        </w:tc>
        <w:tc>
          <w:tcPr>
            <w:tcW w:w="56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6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56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507"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86" w:type="dxa"/>
            <w:vMerge w:val="continue"/>
            <w:tcBorders>
              <w:top w:val="nil"/>
              <w:left w:val="single" w:color="000000" w:sz="8" w:space="0"/>
              <w:bottom w:val="single" w:color="000000" w:sz="8" w:space="0"/>
              <w:right w:val="nil"/>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52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2023</w:t>
            </w:r>
          </w:p>
        </w:tc>
        <w:tc>
          <w:tcPr>
            <w:tcW w:w="726" w:type="dxa"/>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164</w:t>
            </w:r>
          </w:p>
        </w:tc>
        <w:tc>
          <w:tcPr>
            <w:tcW w:w="811" w:type="dxa"/>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42.54</w:t>
            </w:r>
          </w:p>
        </w:tc>
        <w:tc>
          <w:tcPr>
            <w:tcW w:w="811" w:type="dxa"/>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22.91</w:t>
            </w:r>
          </w:p>
        </w:tc>
        <w:tc>
          <w:tcPr>
            <w:tcW w:w="757" w:type="dxa"/>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0.14</w:t>
            </w:r>
          </w:p>
        </w:tc>
        <w:tc>
          <w:tcPr>
            <w:tcW w:w="757" w:type="dxa"/>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159</w:t>
            </w:r>
          </w:p>
        </w:tc>
        <w:tc>
          <w:tcPr>
            <w:tcW w:w="705" w:type="dxa"/>
            <w:gridSpan w:val="2"/>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10.81</w:t>
            </w:r>
          </w:p>
        </w:tc>
        <w:tc>
          <w:tcPr>
            <w:tcW w:w="703" w:type="dxa"/>
            <w:gridSpan w:val="2"/>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7.42</w:t>
            </w:r>
          </w:p>
        </w:tc>
        <w:tc>
          <w:tcPr>
            <w:tcW w:w="757" w:type="dxa"/>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0.05</w:t>
            </w:r>
          </w:p>
        </w:tc>
        <w:tc>
          <w:tcPr>
            <w:tcW w:w="56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6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56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507"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86" w:type="dxa"/>
            <w:vMerge w:val="continue"/>
            <w:tcBorders>
              <w:top w:val="nil"/>
              <w:left w:val="single" w:color="000000" w:sz="8" w:space="0"/>
              <w:bottom w:val="single" w:color="000000" w:sz="8" w:space="0"/>
              <w:right w:val="nil"/>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52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增减幅度</w:t>
            </w:r>
          </w:p>
        </w:tc>
        <w:tc>
          <w:tcPr>
            <w:tcW w:w="726" w:type="dxa"/>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64%</w:t>
            </w:r>
          </w:p>
        </w:tc>
        <w:tc>
          <w:tcPr>
            <w:tcW w:w="811" w:type="dxa"/>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36.04%</w:t>
            </w:r>
          </w:p>
        </w:tc>
        <w:tc>
          <w:tcPr>
            <w:tcW w:w="811" w:type="dxa"/>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37.43%</w:t>
            </w:r>
          </w:p>
        </w:tc>
        <w:tc>
          <w:tcPr>
            <w:tcW w:w="757" w:type="dxa"/>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-16.2%</w:t>
            </w:r>
          </w:p>
        </w:tc>
        <w:tc>
          <w:tcPr>
            <w:tcW w:w="757" w:type="dxa"/>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211.76%</w:t>
            </w:r>
          </w:p>
        </w:tc>
        <w:tc>
          <w:tcPr>
            <w:tcW w:w="705" w:type="dxa"/>
            <w:gridSpan w:val="2"/>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13.08%</w:t>
            </w:r>
          </w:p>
        </w:tc>
        <w:tc>
          <w:tcPr>
            <w:tcW w:w="703" w:type="dxa"/>
            <w:gridSpan w:val="2"/>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3.2%</w:t>
            </w:r>
          </w:p>
        </w:tc>
        <w:tc>
          <w:tcPr>
            <w:tcW w:w="757" w:type="dxa"/>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-66.90%</w:t>
            </w:r>
          </w:p>
        </w:tc>
        <w:tc>
          <w:tcPr>
            <w:tcW w:w="56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6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56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507"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6"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霍林郭勒仁合医院</w:t>
            </w:r>
          </w:p>
        </w:tc>
        <w:tc>
          <w:tcPr>
            <w:tcW w:w="5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2022</w:t>
            </w:r>
          </w:p>
        </w:tc>
        <w:tc>
          <w:tcPr>
            <w:tcW w:w="726" w:type="dxa"/>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94</w:t>
            </w:r>
          </w:p>
        </w:tc>
        <w:tc>
          <w:tcPr>
            <w:tcW w:w="811" w:type="dxa"/>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31.13</w:t>
            </w:r>
          </w:p>
        </w:tc>
        <w:tc>
          <w:tcPr>
            <w:tcW w:w="811" w:type="dxa"/>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17.91</w:t>
            </w:r>
          </w:p>
        </w:tc>
        <w:tc>
          <w:tcPr>
            <w:tcW w:w="757" w:type="dxa"/>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0.19</w:t>
            </w:r>
          </w:p>
        </w:tc>
        <w:tc>
          <w:tcPr>
            <w:tcW w:w="757"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705" w:type="dxa"/>
            <w:gridSpan w:val="2"/>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703" w:type="dxa"/>
            <w:gridSpan w:val="2"/>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757"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6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6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56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507"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86"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5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2023</w:t>
            </w:r>
          </w:p>
        </w:tc>
        <w:tc>
          <w:tcPr>
            <w:tcW w:w="726" w:type="dxa"/>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152</w:t>
            </w:r>
          </w:p>
        </w:tc>
        <w:tc>
          <w:tcPr>
            <w:tcW w:w="811" w:type="dxa"/>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42.15</w:t>
            </w:r>
          </w:p>
        </w:tc>
        <w:tc>
          <w:tcPr>
            <w:tcW w:w="811" w:type="dxa"/>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23.97</w:t>
            </w:r>
          </w:p>
        </w:tc>
        <w:tc>
          <w:tcPr>
            <w:tcW w:w="757" w:type="dxa"/>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0.16</w:t>
            </w:r>
          </w:p>
        </w:tc>
        <w:tc>
          <w:tcPr>
            <w:tcW w:w="757"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705" w:type="dxa"/>
            <w:gridSpan w:val="2"/>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703" w:type="dxa"/>
            <w:gridSpan w:val="2"/>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757"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6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6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56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507"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86"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5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增减幅度</w:t>
            </w:r>
          </w:p>
        </w:tc>
        <w:tc>
          <w:tcPr>
            <w:tcW w:w="726" w:type="dxa"/>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61.70%</w:t>
            </w:r>
          </w:p>
        </w:tc>
        <w:tc>
          <w:tcPr>
            <w:tcW w:w="811" w:type="dxa"/>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35.4%</w:t>
            </w:r>
          </w:p>
        </w:tc>
        <w:tc>
          <w:tcPr>
            <w:tcW w:w="811" w:type="dxa"/>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33.84%</w:t>
            </w:r>
          </w:p>
        </w:tc>
        <w:tc>
          <w:tcPr>
            <w:tcW w:w="757" w:type="dxa"/>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-17.23%</w:t>
            </w:r>
          </w:p>
        </w:tc>
        <w:tc>
          <w:tcPr>
            <w:tcW w:w="757"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705" w:type="dxa"/>
            <w:gridSpan w:val="2"/>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703" w:type="dxa"/>
            <w:gridSpan w:val="2"/>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757"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6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6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56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507"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6"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通辽市</w:t>
            </w:r>
          </w:p>
        </w:tc>
        <w:tc>
          <w:tcPr>
            <w:tcW w:w="5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2022</w:t>
            </w:r>
          </w:p>
        </w:tc>
        <w:tc>
          <w:tcPr>
            <w:tcW w:w="726" w:type="dxa"/>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659</w:t>
            </w:r>
          </w:p>
        </w:tc>
        <w:tc>
          <w:tcPr>
            <w:tcW w:w="811" w:type="dxa"/>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714.76</w:t>
            </w:r>
          </w:p>
        </w:tc>
        <w:tc>
          <w:tcPr>
            <w:tcW w:w="811" w:type="dxa"/>
            <w:tcBorders>
              <w:top w:val="nil"/>
              <w:left w:val="nil"/>
              <w:bottom w:val="single" w:color="000000" w:sz="8" w:space="0"/>
              <w:right w:val="single" w:color="000000" w:sz="8" w:space="0"/>
            </w:tcBorders>
            <w:shd w:val="clear" w:color="auto" w:fill="FFFFFF"/>
            <w:vAlign w:val="center"/>
          </w:tcPr>
          <w:p>
            <w:pPr>
              <w:jc w:val="both"/>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377.22</w:t>
            </w:r>
          </w:p>
        </w:tc>
        <w:tc>
          <w:tcPr>
            <w:tcW w:w="757" w:type="dxa"/>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0.57</w:t>
            </w:r>
          </w:p>
        </w:tc>
        <w:tc>
          <w:tcPr>
            <w:tcW w:w="757"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705" w:type="dxa"/>
            <w:gridSpan w:val="2"/>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703" w:type="dxa"/>
            <w:gridSpan w:val="2"/>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757"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56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6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56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507"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86"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5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2023</w:t>
            </w:r>
          </w:p>
        </w:tc>
        <w:tc>
          <w:tcPr>
            <w:tcW w:w="726" w:type="dxa"/>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829</w:t>
            </w:r>
          </w:p>
        </w:tc>
        <w:tc>
          <w:tcPr>
            <w:tcW w:w="811" w:type="dxa"/>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813.19</w:t>
            </w:r>
          </w:p>
        </w:tc>
        <w:tc>
          <w:tcPr>
            <w:tcW w:w="811" w:type="dxa"/>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434.53</w:t>
            </w:r>
          </w:p>
        </w:tc>
        <w:tc>
          <w:tcPr>
            <w:tcW w:w="757" w:type="dxa"/>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0.52</w:t>
            </w:r>
          </w:p>
        </w:tc>
        <w:tc>
          <w:tcPr>
            <w:tcW w:w="757"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705" w:type="dxa"/>
            <w:gridSpan w:val="2"/>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703" w:type="dxa"/>
            <w:gridSpan w:val="2"/>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757"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56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6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56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507"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86" w:type="dxa"/>
            <w:vMerge w:val="continue"/>
            <w:tcBorders>
              <w:top w:val="nil"/>
              <w:left w:val="single" w:color="000000" w:sz="8" w:space="0"/>
              <w:bottom w:val="single" w:color="auto" w:sz="4"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525" w:type="dxa"/>
            <w:tcBorders>
              <w:top w:val="nil"/>
              <w:left w:val="nil"/>
              <w:bottom w:val="single" w:color="auto"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增减幅度</w:t>
            </w:r>
          </w:p>
        </w:tc>
        <w:tc>
          <w:tcPr>
            <w:tcW w:w="726" w:type="dxa"/>
            <w:tcBorders>
              <w:top w:val="nil"/>
              <w:left w:val="nil"/>
              <w:bottom w:val="single" w:color="auto" w:sz="4"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25.80%</w:t>
            </w:r>
          </w:p>
        </w:tc>
        <w:tc>
          <w:tcPr>
            <w:tcW w:w="811" w:type="dxa"/>
            <w:tcBorders>
              <w:top w:val="nil"/>
              <w:left w:val="nil"/>
              <w:bottom w:val="single" w:color="auto" w:sz="4"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13.77%</w:t>
            </w:r>
          </w:p>
        </w:tc>
        <w:tc>
          <w:tcPr>
            <w:tcW w:w="811" w:type="dxa"/>
            <w:tcBorders>
              <w:top w:val="nil"/>
              <w:left w:val="nil"/>
              <w:bottom w:val="single" w:color="auto" w:sz="4"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15.19%</w:t>
            </w:r>
          </w:p>
        </w:tc>
        <w:tc>
          <w:tcPr>
            <w:tcW w:w="757" w:type="dxa"/>
            <w:tcBorders>
              <w:top w:val="nil"/>
              <w:left w:val="nil"/>
              <w:bottom w:val="single" w:color="auto" w:sz="4"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-8.43%</w:t>
            </w:r>
          </w:p>
        </w:tc>
        <w:tc>
          <w:tcPr>
            <w:tcW w:w="757" w:type="dxa"/>
            <w:tcBorders>
              <w:top w:val="nil"/>
              <w:left w:val="nil"/>
              <w:bottom w:val="single" w:color="auto" w:sz="4"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705" w:type="dxa"/>
            <w:gridSpan w:val="2"/>
            <w:tcBorders>
              <w:top w:val="nil"/>
              <w:left w:val="nil"/>
              <w:bottom w:val="single" w:color="auto" w:sz="4"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703" w:type="dxa"/>
            <w:gridSpan w:val="2"/>
            <w:tcBorders>
              <w:top w:val="nil"/>
              <w:left w:val="nil"/>
              <w:bottom w:val="single" w:color="auto" w:sz="4"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757" w:type="dxa"/>
            <w:tcBorders>
              <w:top w:val="nil"/>
              <w:left w:val="nil"/>
              <w:bottom w:val="single" w:color="auto" w:sz="4"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564" w:type="dxa"/>
            <w:tcBorders>
              <w:top w:val="nil"/>
              <w:left w:val="nil"/>
              <w:bottom w:val="single" w:color="auto" w:sz="4"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622" w:type="dxa"/>
            <w:tcBorders>
              <w:top w:val="nil"/>
              <w:left w:val="nil"/>
              <w:bottom w:val="single" w:color="auto" w:sz="4"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565" w:type="dxa"/>
            <w:tcBorders>
              <w:top w:val="nil"/>
              <w:left w:val="nil"/>
              <w:bottom w:val="single" w:color="auto" w:sz="4"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507" w:type="dxa"/>
            <w:tcBorders>
              <w:top w:val="nil"/>
              <w:left w:val="nil"/>
              <w:bottom w:val="single" w:color="auto" w:sz="4"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trPr>
        <w:tc>
          <w:tcPr>
            <w:tcW w:w="386" w:type="dxa"/>
            <w:vMerge w:val="restart"/>
            <w:tcBorders>
              <w:top w:val="single" w:color="auto" w:sz="4" w:space="0"/>
              <w:left w:val="single" w:color="000000" w:sz="8" w:space="0"/>
              <w:bottom w:val="single" w:color="auto"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转区内住院</w:t>
            </w:r>
          </w:p>
        </w:tc>
        <w:tc>
          <w:tcPr>
            <w:tcW w:w="525" w:type="dxa"/>
            <w:tcBorders>
              <w:top w:val="single" w:color="auto" w:sz="4" w:space="0"/>
              <w:left w:val="nil"/>
              <w:bottom w:val="single" w:color="auto" w:sz="4"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2022</w:t>
            </w:r>
          </w:p>
        </w:tc>
        <w:tc>
          <w:tcPr>
            <w:tcW w:w="726" w:type="dxa"/>
            <w:tcBorders>
              <w:top w:val="single" w:color="auto" w:sz="4" w:space="0"/>
              <w:left w:val="nil"/>
              <w:bottom w:val="single" w:color="auto" w:sz="4"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477</w:t>
            </w:r>
          </w:p>
        </w:tc>
        <w:tc>
          <w:tcPr>
            <w:tcW w:w="811" w:type="dxa"/>
            <w:tcBorders>
              <w:top w:val="single" w:color="auto" w:sz="4" w:space="0"/>
              <w:left w:val="nil"/>
              <w:bottom w:val="single" w:color="auto" w:sz="4"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497.86</w:t>
            </w:r>
          </w:p>
        </w:tc>
        <w:tc>
          <w:tcPr>
            <w:tcW w:w="811" w:type="dxa"/>
            <w:tcBorders>
              <w:top w:val="single" w:color="auto" w:sz="4" w:space="0"/>
              <w:left w:val="nil"/>
              <w:bottom w:val="single" w:color="auto" w:sz="4"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256.52</w:t>
            </w:r>
          </w:p>
        </w:tc>
        <w:tc>
          <w:tcPr>
            <w:tcW w:w="757" w:type="dxa"/>
            <w:tcBorders>
              <w:top w:val="single" w:color="auto" w:sz="4" w:space="0"/>
              <w:left w:val="nil"/>
              <w:bottom w:val="single" w:color="auto" w:sz="4"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0.54</w:t>
            </w:r>
          </w:p>
        </w:tc>
        <w:tc>
          <w:tcPr>
            <w:tcW w:w="757" w:type="dxa"/>
            <w:tcBorders>
              <w:top w:val="single" w:color="auto" w:sz="4" w:space="0"/>
              <w:left w:val="nil"/>
              <w:bottom w:val="single" w:color="auto" w:sz="4"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705" w:type="dxa"/>
            <w:gridSpan w:val="2"/>
            <w:tcBorders>
              <w:top w:val="single" w:color="auto" w:sz="4" w:space="0"/>
              <w:left w:val="nil"/>
              <w:bottom w:val="single" w:color="auto" w:sz="4"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703" w:type="dxa"/>
            <w:gridSpan w:val="2"/>
            <w:tcBorders>
              <w:top w:val="single" w:color="auto" w:sz="4" w:space="0"/>
              <w:left w:val="nil"/>
              <w:bottom w:val="single" w:color="auto" w:sz="4"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757" w:type="dxa"/>
            <w:tcBorders>
              <w:top w:val="single" w:color="auto" w:sz="4" w:space="0"/>
              <w:left w:val="nil"/>
              <w:bottom w:val="single" w:color="auto" w:sz="4"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564" w:type="dxa"/>
            <w:tcBorders>
              <w:top w:val="single" w:color="auto" w:sz="4" w:space="0"/>
              <w:left w:val="nil"/>
              <w:bottom w:val="single" w:color="auto" w:sz="4"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622" w:type="dxa"/>
            <w:tcBorders>
              <w:top w:val="single" w:color="auto" w:sz="4" w:space="0"/>
              <w:left w:val="nil"/>
              <w:bottom w:val="single" w:color="auto" w:sz="4"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565" w:type="dxa"/>
            <w:tcBorders>
              <w:top w:val="single" w:color="auto" w:sz="4" w:space="0"/>
              <w:left w:val="nil"/>
              <w:bottom w:val="single" w:color="auto" w:sz="4"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507" w:type="dxa"/>
            <w:tcBorders>
              <w:top w:val="single" w:color="auto" w:sz="4" w:space="0"/>
              <w:left w:val="nil"/>
              <w:bottom w:val="single" w:color="auto" w:sz="4"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trPr>
        <w:tc>
          <w:tcPr>
            <w:tcW w:w="386" w:type="dxa"/>
            <w:vMerge w:val="continue"/>
            <w:tcBorders>
              <w:top w:val="single" w:color="auto" w:sz="4" w:space="0"/>
              <w:left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525" w:type="dxa"/>
            <w:tcBorders>
              <w:top w:val="single" w:color="auto" w:sz="4"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2023</w:t>
            </w:r>
          </w:p>
        </w:tc>
        <w:tc>
          <w:tcPr>
            <w:tcW w:w="726" w:type="dxa"/>
            <w:tcBorders>
              <w:top w:val="single" w:color="auto" w:sz="4" w:space="0"/>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584</w:t>
            </w:r>
          </w:p>
        </w:tc>
        <w:tc>
          <w:tcPr>
            <w:tcW w:w="811" w:type="dxa"/>
            <w:tcBorders>
              <w:top w:val="single" w:color="auto" w:sz="4" w:space="0"/>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548.03</w:t>
            </w:r>
          </w:p>
        </w:tc>
        <w:tc>
          <w:tcPr>
            <w:tcW w:w="811" w:type="dxa"/>
            <w:tcBorders>
              <w:top w:val="single" w:color="auto" w:sz="4" w:space="0"/>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285.87</w:t>
            </w:r>
          </w:p>
        </w:tc>
        <w:tc>
          <w:tcPr>
            <w:tcW w:w="757" w:type="dxa"/>
            <w:tcBorders>
              <w:top w:val="single" w:color="auto" w:sz="4"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0.49</w:t>
            </w:r>
          </w:p>
        </w:tc>
        <w:tc>
          <w:tcPr>
            <w:tcW w:w="757" w:type="dxa"/>
            <w:tcBorders>
              <w:top w:val="single" w:color="auto" w:sz="4"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705" w:type="dxa"/>
            <w:gridSpan w:val="2"/>
            <w:tcBorders>
              <w:top w:val="single" w:color="auto" w:sz="4"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703" w:type="dxa"/>
            <w:gridSpan w:val="2"/>
            <w:tcBorders>
              <w:top w:val="single" w:color="auto" w:sz="4"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757" w:type="dxa"/>
            <w:tcBorders>
              <w:top w:val="single" w:color="auto" w:sz="4"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564" w:type="dxa"/>
            <w:tcBorders>
              <w:top w:val="single" w:color="auto" w:sz="4"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622" w:type="dxa"/>
            <w:tcBorders>
              <w:top w:val="single" w:color="auto" w:sz="4"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565" w:type="dxa"/>
            <w:tcBorders>
              <w:top w:val="single" w:color="auto" w:sz="4"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507" w:type="dxa"/>
            <w:tcBorders>
              <w:top w:val="single" w:color="auto" w:sz="4"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trPr>
        <w:tc>
          <w:tcPr>
            <w:tcW w:w="386" w:type="dxa"/>
            <w:vMerge w:val="continue"/>
            <w:tcBorders>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5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增减幅度</w:t>
            </w:r>
          </w:p>
        </w:tc>
        <w:tc>
          <w:tcPr>
            <w:tcW w:w="726" w:type="dxa"/>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22.43%</w:t>
            </w:r>
          </w:p>
        </w:tc>
        <w:tc>
          <w:tcPr>
            <w:tcW w:w="811" w:type="dxa"/>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10.08%</w:t>
            </w:r>
          </w:p>
        </w:tc>
        <w:tc>
          <w:tcPr>
            <w:tcW w:w="811" w:type="dxa"/>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11.44%</w:t>
            </w:r>
          </w:p>
        </w:tc>
        <w:tc>
          <w:tcPr>
            <w:tcW w:w="757" w:type="dxa"/>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-8.98%</w:t>
            </w:r>
          </w:p>
        </w:tc>
        <w:tc>
          <w:tcPr>
            <w:tcW w:w="757"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705" w:type="dxa"/>
            <w:gridSpan w:val="2"/>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703" w:type="dxa"/>
            <w:gridSpan w:val="2"/>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757"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56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6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56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507"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6"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转区外住院</w:t>
            </w:r>
          </w:p>
        </w:tc>
        <w:tc>
          <w:tcPr>
            <w:tcW w:w="5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2022</w:t>
            </w:r>
          </w:p>
        </w:tc>
        <w:tc>
          <w:tcPr>
            <w:tcW w:w="726" w:type="dxa"/>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576</w:t>
            </w:r>
          </w:p>
        </w:tc>
        <w:tc>
          <w:tcPr>
            <w:tcW w:w="811" w:type="dxa"/>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1344.98</w:t>
            </w:r>
          </w:p>
        </w:tc>
        <w:tc>
          <w:tcPr>
            <w:tcW w:w="811" w:type="dxa"/>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561.60</w:t>
            </w:r>
          </w:p>
        </w:tc>
        <w:tc>
          <w:tcPr>
            <w:tcW w:w="757" w:type="dxa"/>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0.98</w:t>
            </w:r>
          </w:p>
        </w:tc>
        <w:tc>
          <w:tcPr>
            <w:tcW w:w="757"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705" w:type="dxa"/>
            <w:gridSpan w:val="2"/>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703" w:type="dxa"/>
            <w:gridSpan w:val="2"/>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757"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56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6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56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507"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86"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5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2023</w:t>
            </w:r>
          </w:p>
        </w:tc>
        <w:tc>
          <w:tcPr>
            <w:tcW w:w="726" w:type="dxa"/>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926</w:t>
            </w:r>
          </w:p>
        </w:tc>
        <w:tc>
          <w:tcPr>
            <w:tcW w:w="811" w:type="dxa"/>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2118.16</w:t>
            </w:r>
          </w:p>
        </w:tc>
        <w:tc>
          <w:tcPr>
            <w:tcW w:w="811" w:type="dxa"/>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747.79</w:t>
            </w:r>
          </w:p>
        </w:tc>
        <w:tc>
          <w:tcPr>
            <w:tcW w:w="757" w:type="dxa"/>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0.81</w:t>
            </w:r>
          </w:p>
        </w:tc>
        <w:tc>
          <w:tcPr>
            <w:tcW w:w="757"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705" w:type="dxa"/>
            <w:gridSpan w:val="2"/>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703" w:type="dxa"/>
            <w:gridSpan w:val="2"/>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757"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56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6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56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507"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86"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5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增减幅度</w:t>
            </w:r>
          </w:p>
        </w:tc>
        <w:tc>
          <w:tcPr>
            <w:tcW w:w="726" w:type="dxa"/>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60.76%</w:t>
            </w:r>
          </w:p>
        </w:tc>
        <w:tc>
          <w:tcPr>
            <w:tcW w:w="811" w:type="dxa"/>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57.49%</w:t>
            </w:r>
          </w:p>
        </w:tc>
        <w:tc>
          <w:tcPr>
            <w:tcW w:w="811" w:type="dxa"/>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33.15%</w:t>
            </w:r>
          </w:p>
        </w:tc>
        <w:tc>
          <w:tcPr>
            <w:tcW w:w="757" w:type="dxa"/>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-17.17%</w:t>
            </w:r>
          </w:p>
        </w:tc>
        <w:tc>
          <w:tcPr>
            <w:tcW w:w="757"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705" w:type="dxa"/>
            <w:gridSpan w:val="2"/>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703" w:type="dxa"/>
            <w:gridSpan w:val="2"/>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757"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564"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622"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56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c>
          <w:tcPr>
            <w:tcW w:w="507"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6"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Style w:val="12"/>
                <w:color w:val="auto"/>
                <w:lang w:val="en-US" w:eastAsia="zh-CN" w:bidi="ar"/>
              </w:rPr>
              <w:t>合计</w:t>
            </w:r>
          </w:p>
        </w:tc>
        <w:tc>
          <w:tcPr>
            <w:tcW w:w="5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2022</w:t>
            </w:r>
          </w:p>
        </w:tc>
        <w:tc>
          <w:tcPr>
            <w:tcW w:w="726" w:type="dxa"/>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4799</w:t>
            </w:r>
          </w:p>
        </w:tc>
        <w:tc>
          <w:tcPr>
            <w:tcW w:w="811" w:type="dxa"/>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3942</w:t>
            </w:r>
          </w:p>
        </w:tc>
        <w:tc>
          <w:tcPr>
            <w:tcW w:w="811" w:type="dxa"/>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1957.23</w:t>
            </w:r>
          </w:p>
        </w:tc>
        <w:tc>
          <w:tcPr>
            <w:tcW w:w="757" w:type="dxa"/>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0.41</w:t>
            </w:r>
          </w:p>
        </w:tc>
        <w:tc>
          <w:tcPr>
            <w:tcW w:w="757"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05" w:type="dxa"/>
            <w:gridSpan w:val="2"/>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03" w:type="dxa"/>
            <w:gridSpan w:val="2"/>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57"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564" w:type="dxa"/>
            <w:tcBorders>
              <w:top w:val="nil"/>
              <w:left w:val="nil"/>
              <w:bottom w:val="single" w:color="000000" w:sz="8" w:space="0"/>
              <w:right w:val="single" w:color="000000" w:sz="8" w:space="0"/>
            </w:tcBorders>
            <w:shd w:val="clear" w:color="auto" w:fill="FFFFFF"/>
            <w:vAlign w:val="center"/>
          </w:tcPr>
          <w:p>
            <w:pPr>
              <w:jc w:val="left"/>
              <w:rPr>
                <w:rFonts w:hint="default" w:ascii="宋体" w:hAnsi="宋体" w:eastAsia="宋体" w:cs="宋体"/>
                <w:i w:val="0"/>
                <w:iCs w:val="0"/>
                <w:color w:val="auto"/>
                <w:sz w:val="15"/>
                <w:szCs w:val="15"/>
                <w:u w:val="none"/>
                <w:lang w:val="en-US" w:eastAsia="zh-CN"/>
              </w:rPr>
            </w:pPr>
            <w:r>
              <w:rPr>
                <w:rFonts w:hint="eastAsia" w:ascii="宋体" w:hAnsi="宋体" w:eastAsia="宋体" w:cs="宋体"/>
                <w:i w:val="0"/>
                <w:iCs w:val="0"/>
                <w:color w:val="auto"/>
                <w:sz w:val="15"/>
                <w:szCs w:val="15"/>
                <w:u w:val="none"/>
                <w:lang w:val="en-US" w:eastAsia="zh-CN"/>
              </w:rPr>
              <w:t>5442</w:t>
            </w:r>
          </w:p>
        </w:tc>
        <w:tc>
          <w:tcPr>
            <w:tcW w:w="622" w:type="dxa"/>
            <w:tcBorders>
              <w:top w:val="nil"/>
              <w:left w:val="nil"/>
              <w:bottom w:val="single" w:color="000000" w:sz="8" w:space="0"/>
              <w:right w:val="single" w:color="000000" w:sz="8" w:space="0"/>
            </w:tcBorders>
            <w:shd w:val="clear" w:color="auto" w:fill="FFFFFF"/>
            <w:vAlign w:val="center"/>
          </w:tcPr>
          <w:p>
            <w:pPr>
              <w:jc w:val="left"/>
              <w:rPr>
                <w:rFonts w:hint="default" w:ascii="宋体" w:hAnsi="宋体" w:eastAsia="宋体" w:cs="宋体"/>
                <w:i w:val="0"/>
                <w:iCs w:val="0"/>
                <w:color w:val="auto"/>
                <w:sz w:val="15"/>
                <w:szCs w:val="15"/>
                <w:u w:val="none"/>
                <w:lang w:val="en-US" w:eastAsia="zh-CN"/>
              </w:rPr>
            </w:pPr>
            <w:r>
              <w:rPr>
                <w:rFonts w:hint="eastAsia" w:ascii="宋体" w:hAnsi="宋体" w:eastAsia="宋体" w:cs="宋体"/>
                <w:i w:val="0"/>
                <w:iCs w:val="0"/>
                <w:color w:val="auto"/>
                <w:sz w:val="15"/>
                <w:szCs w:val="15"/>
                <w:u w:val="none"/>
                <w:lang w:val="en-US" w:eastAsia="zh-CN"/>
              </w:rPr>
              <w:t>1183.70</w:t>
            </w:r>
          </w:p>
        </w:tc>
        <w:tc>
          <w:tcPr>
            <w:tcW w:w="565" w:type="dxa"/>
            <w:tcBorders>
              <w:top w:val="nil"/>
              <w:left w:val="nil"/>
              <w:bottom w:val="single" w:color="000000" w:sz="8" w:space="0"/>
              <w:right w:val="single" w:color="000000" w:sz="8" w:space="0"/>
            </w:tcBorders>
            <w:shd w:val="clear" w:color="auto" w:fill="FFFFFF"/>
            <w:vAlign w:val="center"/>
          </w:tcPr>
          <w:p>
            <w:pPr>
              <w:jc w:val="left"/>
              <w:rPr>
                <w:rFonts w:hint="default" w:ascii="宋体" w:hAnsi="宋体" w:eastAsia="宋体" w:cs="宋体"/>
                <w:i w:val="0"/>
                <w:iCs w:val="0"/>
                <w:color w:val="auto"/>
                <w:sz w:val="15"/>
                <w:szCs w:val="15"/>
                <w:u w:val="none"/>
                <w:lang w:val="en-US" w:eastAsia="zh-CN"/>
              </w:rPr>
            </w:pPr>
            <w:r>
              <w:rPr>
                <w:rFonts w:hint="eastAsia" w:ascii="宋体" w:hAnsi="宋体" w:eastAsia="宋体" w:cs="宋体"/>
                <w:i w:val="0"/>
                <w:iCs w:val="0"/>
                <w:color w:val="auto"/>
                <w:sz w:val="15"/>
                <w:szCs w:val="15"/>
                <w:u w:val="none"/>
                <w:lang w:val="en-US" w:eastAsia="zh-CN"/>
              </w:rPr>
              <w:t>216.22</w:t>
            </w:r>
          </w:p>
        </w:tc>
        <w:tc>
          <w:tcPr>
            <w:tcW w:w="507" w:type="dxa"/>
            <w:tcBorders>
              <w:top w:val="nil"/>
              <w:left w:val="nil"/>
              <w:bottom w:val="single" w:color="000000" w:sz="8" w:space="0"/>
              <w:right w:val="single" w:color="000000" w:sz="8" w:space="0"/>
            </w:tcBorders>
            <w:shd w:val="clear" w:color="auto" w:fill="FFFFFF"/>
            <w:vAlign w:val="center"/>
          </w:tcPr>
          <w:p>
            <w:pPr>
              <w:jc w:val="left"/>
              <w:rPr>
                <w:rFonts w:hint="default" w:ascii="宋体" w:hAnsi="宋体" w:eastAsia="宋体" w:cs="宋体"/>
                <w:i w:val="0"/>
                <w:iCs w:val="0"/>
                <w:color w:val="auto"/>
                <w:sz w:val="15"/>
                <w:szCs w:val="15"/>
                <w:u w:val="none"/>
                <w:lang w:val="en-US" w:eastAsia="zh-CN"/>
              </w:rPr>
            </w:pPr>
            <w:r>
              <w:rPr>
                <w:rFonts w:hint="eastAsia" w:ascii="宋体" w:hAnsi="宋体" w:eastAsia="宋体" w:cs="宋体"/>
                <w:i w:val="0"/>
                <w:iCs w:val="0"/>
                <w:color w:val="auto"/>
                <w:sz w:val="15"/>
                <w:szCs w:val="15"/>
                <w:u w:val="none"/>
                <w:lang w:val="en-US" w:eastAsia="zh-CN"/>
              </w:rPr>
              <w:t>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86"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5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2023</w:t>
            </w:r>
          </w:p>
        </w:tc>
        <w:tc>
          <w:tcPr>
            <w:tcW w:w="726" w:type="dxa"/>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5787</w:t>
            </w:r>
          </w:p>
        </w:tc>
        <w:tc>
          <w:tcPr>
            <w:tcW w:w="811" w:type="dxa"/>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4947.26</w:t>
            </w:r>
          </w:p>
        </w:tc>
        <w:tc>
          <w:tcPr>
            <w:tcW w:w="811" w:type="dxa"/>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2317.86</w:t>
            </w:r>
          </w:p>
        </w:tc>
        <w:tc>
          <w:tcPr>
            <w:tcW w:w="757" w:type="dxa"/>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0.40</w:t>
            </w:r>
          </w:p>
        </w:tc>
        <w:tc>
          <w:tcPr>
            <w:tcW w:w="757"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05" w:type="dxa"/>
            <w:gridSpan w:val="2"/>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03" w:type="dxa"/>
            <w:gridSpan w:val="2"/>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57"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564" w:type="dxa"/>
            <w:tcBorders>
              <w:top w:val="nil"/>
              <w:left w:val="nil"/>
              <w:bottom w:val="single" w:color="000000" w:sz="8" w:space="0"/>
              <w:right w:val="single" w:color="000000" w:sz="8" w:space="0"/>
            </w:tcBorders>
            <w:shd w:val="clear" w:color="auto" w:fill="FFFFFF"/>
            <w:vAlign w:val="center"/>
          </w:tcPr>
          <w:p>
            <w:pPr>
              <w:jc w:val="left"/>
              <w:rPr>
                <w:rFonts w:hint="default" w:ascii="宋体" w:hAnsi="宋体" w:eastAsia="宋体" w:cs="宋体"/>
                <w:i w:val="0"/>
                <w:iCs w:val="0"/>
                <w:color w:val="auto"/>
                <w:sz w:val="15"/>
                <w:szCs w:val="15"/>
                <w:u w:val="none"/>
                <w:lang w:val="en-US" w:eastAsia="zh-CN"/>
              </w:rPr>
            </w:pPr>
            <w:r>
              <w:rPr>
                <w:rFonts w:hint="eastAsia" w:ascii="宋体" w:hAnsi="宋体" w:eastAsia="宋体" w:cs="宋体"/>
                <w:i w:val="0"/>
                <w:iCs w:val="0"/>
                <w:color w:val="auto"/>
                <w:sz w:val="15"/>
                <w:szCs w:val="15"/>
                <w:u w:val="none"/>
                <w:lang w:val="en-US" w:eastAsia="zh-CN"/>
              </w:rPr>
              <w:t>7312</w:t>
            </w:r>
          </w:p>
        </w:tc>
        <w:tc>
          <w:tcPr>
            <w:tcW w:w="622" w:type="dxa"/>
            <w:tcBorders>
              <w:top w:val="nil"/>
              <w:left w:val="nil"/>
              <w:bottom w:val="single" w:color="000000" w:sz="8" w:space="0"/>
              <w:right w:val="single" w:color="000000" w:sz="8" w:space="0"/>
            </w:tcBorders>
            <w:shd w:val="clear" w:color="auto" w:fill="FFFFFF"/>
            <w:vAlign w:val="center"/>
          </w:tcPr>
          <w:p>
            <w:pPr>
              <w:jc w:val="left"/>
              <w:rPr>
                <w:rFonts w:hint="default" w:ascii="宋体" w:hAnsi="宋体" w:eastAsia="宋体" w:cs="宋体"/>
                <w:i w:val="0"/>
                <w:iCs w:val="0"/>
                <w:color w:val="auto"/>
                <w:sz w:val="15"/>
                <w:szCs w:val="15"/>
                <w:u w:val="none"/>
                <w:lang w:val="en-US" w:eastAsia="zh-CN"/>
              </w:rPr>
            </w:pPr>
            <w:r>
              <w:rPr>
                <w:rFonts w:hint="eastAsia" w:ascii="宋体" w:hAnsi="宋体" w:eastAsia="宋体" w:cs="宋体"/>
                <w:i w:val="0"/>
                <w:iCs w:val="0"/>
                <w:color w:val="auto"/>
                <w:sz w:val="15"/>
                <w:szCs w:val="15"/>
                <w:u w:val="none"/>
                <w:lang w:val="en-US" w:eastAsia="zh-CN"/>
              </w:rPr>
              <w:t>1616.79</w:t>
            </w:r>
          </w:p>
        </w:tc>
        <w:tc>
          <w:tcPr>
            <w:tcW w:w="565" w:type="dxa"/>
            <w:tcBorders>
              <w:top w:val="nil"/>
              <w:left w:val="nil"/>
              <w:bottom w:val="single" w:color="000000" w:sz="8" w:space="0"/>
              <w:right w:val="single" w:color="000000" w:sz="8" w:space="0"/>
            </w:tcBorders>
            <w:shd w:val="clear" w:color="auto" w:fill="FFFFFF"/>
            <w:vAlign w:val="center"/>
          </w:tcPr>
          <w:p>
            <w:pPr>
              <w:jc w:val="left"/>
              <w:rPr>
                <w:rFonts w:hint="default" w:ascii="宋体" w:hAnsi="宋体" w:eastAsia="宋体" w:cs="宋体"/>
                <w:i w:val="0"/>
                <w:iCs w:val="0"/>
                <w:color w:val="auto"/>
                <w:sz w:val="15"/>
                <w:szCs w:val="15"/>
                <w:u w:val="none"/>
                <w:lang w:val="en-US" w:eastAsia="zh-CN"/>
              </w:rPr>
            </w:pPr>
            <w:r>
              <w:rPr>
                <w:rFonts w:hint="eastAsia" w:ascii="宋体" w:hAnsi="宋体" w:eastAsia="宋体" w:cs="宋体"/>
                <w:i w:val="0"/>
                <w:iCs w:val="0"/>
                <w:color w:val="auto"/>
                <w:sz w:val="15"/>
                <w:szCs w:val="15"/>
                <w:u w:val="none"/>
                <w:lang w:val="en-US" w:eastAsia="zh-CN"/>
              </w:rPr>
              <w:t>301.48</w:t>
            </w:r>
          </w:p>
        </w:tc>
        <w:tc>
          <w:tcPr>
            <w:tcW w:w="507" w:type="dxa"/>
            <w:tcBorders>
              <w:top w:val="nil"/>
              <w:left w:val="nil"/>
              <w:bottom w:val="single" w:color="000000" w:sz="8" w:space="0"/>
              <w:right w:val="single" w:color="000000" w:sz="8" w:space="0"/>
            </w:tcBorders>
            <w:shd w:val="clear" w:color="auto" w:fill="FFFFFF"/>
            <w:vAlign w:val="center"/>
          </w:tcPr>
          <w:p>
            <w:pPr>
              <w:jc w:val="left"/>
              <w:rPr>
                <w:rFonts w:hint="default" w:ascii="宋体" w:hAnsi="宋体" w:eastAsia="宋体" w:cs="宋体"/>
                <w:i w:val="0"/>
                <w:iCs w:val="0"/>
                <w:color w:val="auto"/>
                <w:sz w:val="15"/>
                <w:szCs w:val="15"/>
                <w:u w:val="none"/>
                <w:lang w:val="en-US" w:eastAsia="zh-CN"/>
              </w:rPr>
            </w:pPr>
            <w:r>
              <w:rPr>
                <w:rFonts w:hint="eastAsia" w:ascii="宋体" w:hAnsi="宋体" w:eastAsia="宋体" w:cs="宋体"/>
                <w:i w:val="0"/>
                <w:iCs w:val="0"/>
                <w:color w:val="auto"/>
                <w:sz w:val="15"/>
                <w:szCs w:val="15"/>
                <w:u w:val="none"/>
                <w:lang w:val="en-US" w:eastAsia="zh-CN"/>
              </w:rPr>
              <w:t>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86"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52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增减幅度</w:t>
            </w:r>
          </w:p>
        </w:tc>
        <w:tc>
          <w:tcPr>
            <w:tcW w:w="726" w:type="dxa"/>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20.59%</w:t>
            </w:r>
          </w:p>
        </w:tc>
        <w:tc>
          <w:tcPr>
            <w:tcW w:w="811" w:type="dxa"/>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25.50%</w:t>
            </w:r>
          </w:p>
        </w:tc>
        <w:tc>
          <w:tcPr>
            <w:tcW w:w="811" w:type="dxa"/>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18.43%</w:t>
            </w:r>
          </w:p>
        </w:tc>
        <w:tc>
          <w:tcPr>
            <w:tcW w:w="757" w:type="dxa"/>
            <w:tcBorders>
              <w:top w:val="nil"/>
              <w:left w:val="nil"/>
              <w:bottom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-1.79%</w:t>
            </w:r>
          </w:p>
        </w:tc>
        <w:tc>
          <w:tcPr>
            <w:tcW w:w="757"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05" w:type="dxa"/>
            <w:gridSpan w:val="2"/>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03" w:type="dxa"/>
            <w:gridSpan w:val="2"/>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57"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564" w:type="dxa"/>
            <w:tcBorders>
              <w:top w:val="nil"/>
              <w:left w:val="nil"/>
              <w:bottom w:val="single" w:color="000000" w:sz="8" w:space="0"/>
              <w:right w:val="single" w:color="000000" w:sz="8" w:space="0"/>
            </w:tcBorders>
            <w:shd w:val="clear" w:color="auto" w:fill="FFFFFF"/>
            <w:vAlign w:val="center"/>
          </w:tcPr>
          <w:p>
            <w:pPr>
              <w:jc w:val="left"/>
              <w:rPr>
                <w:rFonts w:hint="default" w:ascii="宋体" w:hAnsi="宋体" w:eastAsia="宋体" w:cs="宋体"/>
                <w:i w:val="0"/>
                <w:iCs w:val="0"/>
                <w:color w:val="auto"/>
                <w:sz w:val="15"/>
                <w:szCs w:val="15"/>
                <w:u w:val="none"/>
                <w:lang w:val="en-US" w:eastAsia="zh-CN"/>
              </w:rPr>
            </w:pPr>
            <w:r>
              <w:rPr>
                <w:rFonts w:hint="eastAsia" w:ascii="宋体" w:hAnsi="宋体" w:eastAsia="宋体" w:cs="宋体"/>
                <w:i w:val="0"/>
                <w:iCs w:val="0"/>
                <w:color w:val="auto"/>
                <w:sz w:val="15"/>
                <w:szCs w:val="15"/>
                <w:u w:val="none"/>
                <w:lang w:val="en-US" w:eastAsia="zh-CN"/>
              </w:rPr>
              <w:t>34.36%</w:t>
            </w:r>
          </w:p>
        </w:tc>
        <w:tc>
          <w:tcPr>
            <w:tcW w:w="622" w:type="dxa"/>
            <w:tcBorders>
              <w:top w:val="nil"/>
              <w:left w:val="nil"/>
              <w:bottom w:val="single" w:color="000000" w:sz="8" w:space="0"/>
              <w:right w:val="single" w:color="000000" w:sz="8" w:space="0"/>
            </w:tcBorders>
            <w:shd w:val="clear" w:color="auto" w:fill="FFFFFF"/>
            <w:vAlign w:val="center"/>
          </w:tcPr>
          <w:p>
            <w:pPr>
              <w:jc w:val="left"/>
              <w:rPr>
                <w:rFonts w:hint="default" w:ascii="宋体" w:hAnsi="宋体" w:eastAsia="宋体" w:cs="宋体"/>
                <w:i w:val="0"/>
                <w:iCs w:val="0"/>
                <w:color w:val="auto"/>
                <w:sz w:val="15"/>
                <w:szCs w:val="15"/>
                <w:u w:val="none"/>
                <w:lang w:val="en-US" w:eastAsia="zh-CN"/>
              </w:rPr>
            </w:pPr>
            <w:r>
              <w:rPr>
                <w:rFonts w:hint="eastAsia" w:ascii="宋体" w:hAnsi="宋体" w:eastAsia="宋体" w:cs="宋体"/>
                <w:i w:val="0"/>
                <w:iCs w:val="0"/>
                <w:color w:val="auto"/>
                <w:sz w:val="15"/>
                <w:szCs w:val="15"/>
                <w:u w:val="none"/>
                <w:lang w:val="en-US" w:eastAsia="zh-CN"/>
              </w:rPr>
              <w:t>36.59%</w:t>
            </w:r>
          </w:p>
        </w:tc>
        <w:tc>
          <w:tcPr>
            <w:tcW w:w="565" w:type="dxa"/>
            <w:tcBorders>
              <w:top w:val="nil"/>
              <w:left w:val="nil"/>
              <w:bottom w:val="single" w:color="000000" w:sz="8" w:space="0"/>
              <w:right w:val="single" w:color="000000" w:sz="8" w:space="0"/>
            </w:tcBorders>
            <w:shd w:val="clear" w:color="auto" w:fill="FFFFFF"/>
            <w:vAlign w:val="center"/>
          </w:tcPr>
          <w:p>
            <w:pPr>
              <w:jc w:val="left"/>
              <w:rPr>
                <w:rFonts w:hint="default" w:ascii="宋体" w:hAnsi="宋体" w:eastAsia="宋体" w:cs="宋体"/>
                <w:i w:val="0"/>
                <w:iCs w:val="0"/>
                <w:color w:val="auto"/>
                <w:sz w:val="15"/>
                <w:szCs w:val="15"/>
                <w:u w:val="none"/>
                <w:lang w:val="en-US" w:eastAsia="zh-CN"/>
              </w:rPr>
            </w:pPr>
            <w:r>
              <w:rPr>
                <w:rFonts w:hint="eastAsia" w:ascii="宋体" w:hAnsi="宋体" w:eastAsia="宋体" w:cs="宋体"/>
                <w:i w:val="0"/>
                <w:iCs w:val="0"/>
                <w:color w:val="auto"/>
                <w:sz w:val="15"/>
                <w:szCs w:val="15"/>
                <w:u w:val="none"/>
                <w:lang w:val="en-US" w:eastAsia="zh-CN"/>
              </w:rPr>
              <w:t>39.43%</w:t>
            </w:r>
          </w:p>
        </w:tc>
        <w:tc>
          <w:tcPr>
            <w:tcW w:w="507" w:type="dxa"/>
            <w:tcBorders>
              <w:top w:val="nil"/>
              <w:left w:val="nil"/>
              <w:bottom w:val="single" w:color="000000" w:sz="8" w:space="0"/>
              <w:right w:val="single" w:color="000000" w:sz="8" w:space="0"/>
            </w:tcBorders>
            <w:shd w:val="clear" w:color="auto" w:fill="FFFFFF"/>
            <w:vAlign w:val="center"/>
          </w:tcPr>
          <w:p>
            <w:pPr>
              <w:jc w:val="left"/>
              <w:rPr>
                <w:rFonts w:hint="default" w:ascii="宋体" w:hAnsi="宋体" w:eastAsia="宋体" w:cs="宋体"/>
                <w:i w:val="0"/>
                <w:iCs w:val="0"/>
                <w:color w:val="auto"/>
                <w:sz w:val="15"/>
                <w:szCs w:val="15"/>
                <w:u w:val="none"/>
                <w:lang w:val="en-US" w:eastAsia="zh-CN"/>
              </w:rPr>
            </w:pPr>
            <w:r>
              <w:rPr>
                <w:rFonts w:hint="eastAsia" w:ascii="宋体" w:hAnsi="宋体" w:eastAsia="宋体" w:cs="宋体"/>
                <w:i w:val="0"/>
                <w:iCs w:val="0"/>
                <w:color w:val="auto"/>
                <w:sz w:val="15"/>
                <w:szCs w:val="15"/>
                <w:u w:val="none"/>
                <w:lang w:val="en-US" w:eastAsia="zh-CN"/>
              </w:rPr>
              <w:t>3.77%</w:t>
            </w:r>
          </w:p>
        </w:tc>
      </w:tr>
    </w:tbl>
    <w:p>
      <w:pPr>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 xml:space="preserve">数据比对情况分析结论： </w:t>
      </w:r>
    </w:p>
    <w:p>
      <w:pPr>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人民医院第二季度住院人次同期增加4.61%，医疗费用总额同期降低2.84%，基金支出增加1.14%，次均费用降低-3.32%。因城乡居居自2022年下半年按现有政策实行DIP结算，DIP政策的执行结算模式及计算方法的改变导致次均费用的小幅度降低；门诊慢性病人次增加20.23%，医疗费用总额降低9.34%，基金支付总额降低10.77%，次均费用降低25.79%，因医院目前使用的集采药品的种类越来越多，集采药品价格低，成本下降，导致医疗费用总额、基金支付金额、人均费用均出现下降。</w:t>
      </w:r>
    </w:p>
    <w:p>
      <w:pPr>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w:t>
      </w:r>
      <w:r>
        <w:rPr>
          <w:rFonts w:hint="default" w:ascii="仿宋" w:hAnsi="仿宋" w:eastAsia="仿宋" w:cs="仿宋"/>
          <w:b w:val="0"/>
          <w:bCs w:val="0"/>
          <w:color w:val="auto"/>
          <w:sz w:val="32"/>
          <w:szCs w:val="32"/>
          <w:lang w:val="en-US" w:eastAsia="zh-CN"/>
        </w:rPr>
        <w:t>中蒙医院</w:t>
      </w:r>
      <w:r>
        <w:rPr>
          <w:rFonts w:hint="eastAsia" w:ascii="仿宋" w:hAnsi="仿宋" w:eastAsia="仿宋" w:cs="仿宋"/>
          <w:b w:val="0"/>
          <w:bCs w:val="0"/>
          <w:color w:val="auto"/>
          <w:sz w:val="32"/>
          <w:szCs w:val="32"/>
          <w:lang w:val="en-US" w:eastAsia="zh-CN"/>
        </w:rPr>
        <w:t>二季度</w:t>
      </w:r>
      <w:r>
        <w:rPr>
          <w:rFonts w:hint="default" w:ascii="仿宋" w:hAnsi="仿宋" w:eastAsia="仿宋" w:cs="仿宋"/>
          <w:b w:val="0"/>
          <w:bCs w:val="0"/>
          <w:color w:val="auto"/>
          <w:sz w:val="32"/>
          <w:szCs w:val="32"/>
          <w:lang w:val="en-US" w:eastAsia="zh-CN"/>
        </w:rPr>
        <w:t>住院人</w:t>
      </w:r>
      <w:r>
        <w:rPr>
          <w:rFonts w:hint="eastAsia" w:ascii="仿宋" w:hAnsi="仿宋" w:eastAsia="仿宋" w:cs="仿宋"/>
          <w:b w:val="0"/>
          <w:bCs w:val="0"/>
          <w:color w:val="auto"/>
          <w:sz w:val="32"/>
          <w:szCs w:val="32"/>
          <w:lang w:val="en-US" w:eastAsia="zh-CN"/>
        </w:rPr>
        <w:t>次同期</w:t>
      </w:r>
      <w:r>
        <w:rPr>
          <w:rFonts w:hint="default" w:ascii="仿宋" w:hAnsi="仿宋" w:eastAsia="仿宋" w:cs="仿宋"/>
          <w:b w:val="0"/>
          <w:bCs w:val="0"/>
          <w:color w:val="auto"/>
          <w:sz w:val="32"/>
          <w:szCs w:val="32"/>
          <w:lang w:val="en-US" w:eastAsia="zh-CN"/>
        </w:rPr>
        <w:t>增加</w:t>
      </w:r>
      <w:r>
        <w:rPr>
          <w:rFonts w:hint="eastAsia" w:ascii="仿宋" w:hAnsi="仿宋" w:eastAsia="仿宋" w:cs="仿宋"/>
          <w:b w:val="0"/>
          <w:bCs w:val="0"/>
          <w:color w:val="auto"/>
          <w:sz w:val="32"/>
          <w:szCs w:val="32"/>
          <w:lang w:val="en-US" w:eastAsia="zh-CN"/>
        </w:rPr>
        <w:t>15.85%</w:t>
      </w:r>
      <w:r>
        <w:rPr>
          <w:rFonts w:hint="default" w:ascii="仿宋" w:hAnsi="仿宋" w:eastAsia="仿宋" w:cs="仿宋"/>
          <w:b w:val="0"/>
          <w:bCs w:val="0"/>
          <w:color w:val="auto"/>
          <w:sz w:val="32"/>
          <w:szCs w:val="32"/>
          <w:lang w:val="en-US" w:eastAsia="zh-CN"/>
        </w:rPr>
        <w:t>，</w:t>
      </w:r>
      <w:r>
        <w:rPr>
          <w:rFonts w:hint="eastAsia" w:ascii="仿宋" w:hAnsi="仿宋" w:eastAsia="仿宋" w:cs="仿宋"/>
          <w:b w:val="0"/>
          <w:bCs w:val="0"/>
          <w:color w:val="auto"/>
          <w:sz w:val="32"/>
          <w:szCs w:val="32"/>
          <w:lang w:val="en-US" w:eastAsia="zh-CN"/>
        </w:rPr>
        <w:t>医疗费用总额增加24.97%，</w:t>
      </w:r>
      <w:r>
        <w:rPr>
          <w:rFonts w:hint="default" w:ascii="仿宋" w:hAnsi="仿宋" w:eastAsia="仿宋" w:cs="仿宋"/>
          <w:b w:val="0"/>
          <w:bCs w:val="0"/>
          <w:color w:val="auto"/>
          <w:sz w:val="32"/>
          <w:szCs w:val="32"/>
          <w:lang w:val="en-US" w:eastAsia="zh-CN"/>
        </w:rPr>
        <w:t>基金支付总额增加</w:t>
      </w:r>
      <w:r>
        <w:rPr>
          <w:rFonts w:hint="eastAsia" w:ascii="仿宋" w:hAnsi="仿宋" w:eastAsia="仿宋" w:cs="仿宋"/>
          <w:b w:val="0"/>
          <w:bCs w:val="0"/>
          <w:color w:val="auto"/>
          <w:sz w:val="32"/>
          <w:szCs w:val="32"/>
          <w:lang w:val="en-US" w:eastAsia="zh-CN"/>
        </w:rPr>
        <w:t>34.52</w:t>
      </w:r>
      <w:r>
        <w:rPr>
          <w:rFonts w:hint="default" w:ascii="仿宋" w:hAnsi="仿宋" w:eastAsia="仿宋" w:cs="仿宋"/>
          <w:b w:val="0"/>
          <w:bCs w:val="0"/>
          <w:color w:val="auto"/>
          <w:sz w:val="32"/>
          <w:szCs w:val="32"/>
          <w:lang w:val="en-US" w:eastAsia="zh-CN"/>
        </w:rPr>
        <w:t>%，人均费用增加</w:t>
      </w:r>
      <w:r>
        <w:rPr>
          <w:rFonts w:hint="eastAsia" w:ascii="仿宋" w:hAnsi="仿宋" w:eastAsia="仿宋" w:cs="仿宋"/>
          <w:b w:val="0"/>
          <w:bCs w:val="0"/>
          <w:color w:val="auto"/>
          <w:sz w:val="32"/>
          <w:szCs w:val="32"/>
          <w:lang w:val="en-US" w:eastAsia="zh-CN"/>
        </w:rPr>
        <w:t>16.12%；因中蒙医院地理位置优势，出现住院收入增长趋势；</w:t>
      </w:r>
      <w:r>
        <w:rPr>
          <w:rFonts w:hint="default" w:ascii="仿宋" w:hAnsi="仿宋" w:eastAsia="仿宋" w:cs="仿宋"/>
          <w:b w:val="0"/>
          <w:bCs w:val="0"/>
          <w:color w:val="auto"/>
          <w:sz w:val="32"/>
          <w:szCs w:val="32"/>
          <w:lang w:val="en-US" w:eastAsia="zh-CN"/>
        </w:rPr>
        <w:t>门诊慢性病</w:t>
      </w:r>
      <w:r>
        <w:rPr>
          <w:rFonts w:hint="eastAsia" w:ascii="仿宋" w:hAnsi="仿宋" w:eastAsia="仿宋" w:cs="仿宋"/>
          <w:b w:val="0"/>
          <w:bCs w:val="0"/>
          <w:color w:val="auto"/>
          <w:sz w:val="32"/>
          <w:szCs w:val="32"/>
          <w:lang w:val="en-US" w:eastAsia="zh-CN"/>
        </w:rPr>
        <w:t>人次</w:t>
      </w:r>
      <w:r>
        <w:rPr>
          <w:rFonts w:hint="default" w:ascii="仿宋" w:hAnsi="仿宋" w:eastAsia="仿宋" w:cs="仿宋"/>
          <w:b w:val="0"/>
          <w:bCs w:val="0"/>
          <w:color w:val="auto"/>
          <w:sz w:val="32"/>
          <w:szCs w:val="32"/>
          <w:lang w:val="en-US" w:eastAsia="zh-CN"/>
        </w:rPr>
        <w:t>增加</w:t>
      </w:r>
      <w:r>
        <w:rPr>
          <w:rFonts w:hint="eastAsia" w:ascii="仿宋" w:hAnsi="仿宋" w:eastAsia="仿宋" w:cs="仿宋"/>
          <w:b w:val="0"/>
          <w:bCs w:val="0"/>
          <w:color w:val="auto"/>
          <w:sz w:val="32"/>
          <w:szCs w:val="32"/>
          <w:lang w:val="en-US" w:eastAsia="zh-CN"/>
        </w:rPr>
        <w:t>24.78%</w:t>
      </w:r>
      <w:r>
        <w:rPr>
          <w:rFonts w:hint="default" w:ascii="仿宋" w:hAnsi="仿宋" w:eastAsia="仿宋" w:cs="仿宋"/>
          <w:b w:val="0"/>
          <w:bCs w:val="0"/>
          <w:color w:val="auto"/>
          <w:sz w:val="32"/>
          <w:szCs w:val="32"/>
          <w:lang w:val="en-US" w:eastAsia="zh-CN"/>
        </w:rPr>
        <w:t>，</w:t>
      </w:r>
      <w:r>
        <w:rPr>
          <w:rFonts w:hint="eastAsia" w:ascii="仿宋" w:hAnsi="仿宋" w:eastAsia="仿宋" w:cs="仿宋"/>
          <w:b w:val="0"/>
          <w:bCs w:val="0"/>
          <w:color w:val="auto"/>
          <w:sz w:val="32"/>
          <w:szCs w:val="32"/>
          <w:lang w:val="en-US" w:eastAsia="zh-CN"/>
        </w:rPr>
        <w:t>医疗费用总额增加2.59% ，</w:t>
      </w:r>
      <w:r>
        <w:rPr>
          <w:rFonts w:hint="default" w:ascii="仿宋" w:hAnsi="仿宋" w:eastAsia="仿宋" w:cs="仿宋"/>
          <w:b w:val="0"/>
          <w:bCs w:val="0"/>
          <w:color w:val="auto"/>
          <w:sz w:val="32"/>
          <w:szCs w:val="32"/>
          <w:lang w:val="en-US" w:eastAsia="zh-CN"/>
        </w:rPr>
        <w:t>基金支付总额增加</w:t>
      </w:r>
      <w:r>
        <w:rPr>
          <w:rFonts w:hint="eastAsia" w:ascii="仿宋" w:hAnsi="仿宋" w:eastAsia="仿宋" w:cs="仿宋"/>
          <w:b w:val="0"/>
          <w:bCs w:val="0"/>
          <w:color w:val="auto"/>
          <w:sz w:val="32"/>
          <w:szCs w:val="32"/>
          <w:lang w:val="en-US" w:eastAsia="zh-CN"/>
        </w:rPr>
        <w:t>1%</w:t>
      </w:r>
      <w:r>
        <w:rPr>
          <w:rFonts w:hint="default" w:ascii="仿宋" w:hAnsi="仿宋" w:eastAsia="仿宋" w:cs="仿宋"/>
          <w:b w:val="0"/>
          <w:bCs w:val="0"/>
          <w:color w:val="auto"/>
          <w:sz w:val="32"/>
          <w:szCs w:val="32"/>
          <w:lang w:val="en-US" w:eastAsia="zh-CN"/>
        </w:rPr>
        <w:t>，</w:t>
      </w:r>
      <w:r>
        <w:rPr>
          <w:rFonts w:hint="eastAsia" w:ascii="仿宋" w:hAnsi="仿宋" w:eastAsia="仿宋" w:cs="仿宋"/>
          <w:b w:val="0"/>
          <w:bCs w:val="0"/>
          <w:color w:val="auto"/>
          <w:sz w:val="32"/>
          <w:szCs w:val="32"/>
          <w:lang w:val="en-US" w:eastAsia="zh-CN"/>
        </w:rPr>
        <w:t>次</w:t>
      </w:r>
      <w:r>
        <w:rPr>
          <w:rFonts w:hint="default" w:ascii="仿宋" w:hAnsi="仿宋" w:eastAsia="仿宋" w:cs="仿宋"/>
          <w:b w:val="0"/>
          <w:bCs w:val="0"/>
          <w:color w:val="auto"/>
          <w:sz w:val="32"/>
          <w:szCs w:val="32"/>
          <w:lang w:val="en-US" w:eastAsia="zh-CN"/>
        </w:rPr>
        <w:t>均费用</w:t>
      </w:r>
      <w:r>
        <w:rPr>
          <w:rFonts w:hint="eastAsia" w:ascii="仿宋" w:hAnsi="仿宋" w:eastAsia="仿宋" w:cs="仿宋"/>
          <w:b w:val="0"/>
          <w:bCs w:val="0"/>
          <w:color w:val="auto"/>
          <w:sz w:val="32"/>
          <w:szCs w:val="32"/>
          <w:lang w:val="en-US" w:eastAsia="zh-CN"/>
        </w:rPr>
        <w:t>与上年同期基本保持一致，由于中蒙医院目前地处市中心位置，门诊慢性病患者就医购药更加方便，导致门诊慢性病就医人次以及医疗费用出现增长趋势。</w:t>
      </w:r>
    </w:p>
    <w:p>
      <w:pPr>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爱德医院住院人次、医疗总费用、基金支出较上年增长均有增加，爱德医院作为一家新建的民营医院，在近两年的经营过程中加大宣传力度，提高就医水平，取得很多患者的信任，就医人次、医疗费用均出现上涨的趋势，定期监测费用的增长情况，避免出现异常的增长出现。</w:t>
      </w:r>
    </w:p>
    <w:p>
      <w:pPr>
        <w:spacing w:line="560" w:lineRule="exact"/>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4.仁合医院住院人次、基金支付总额均出现大幅上涨情况，与对其进行实地督导。</w:t>
      </w:r>
    </w:p>
    <w:p>
      <w:pPr>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5.通辽市及转外住院患者都出现上涨趋势，2023年同2022年比较，最大的变化就是疫情对患者转外就医的影响基本解除了，所以患者转外就医的人次、就医费用均出现不同程度的上涨。这种情况的出现对于居民医保基金的运行存在缺口进一步加剧的风险，因市级统收统支后，基金监管实行就医地医保经办机构管理，另外医保支付方式改革，通辽市上年度还未进行最后清算，最终支付情况目前还无法判断。</w:t>
      </w:r>
    </w:p>
    <w:p>
      <w:pPr>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6.医疗救助基金报销人次增加34.36%、医疗总费用增加36.59%、基金支出增长39.43%、次均费用增长3.77%，这与2023年居民整体住院人数、医疗总费用、基金支出增长相关。</w:t>
      </w:r>
    </w:p>
    <w:p>
      <w:pPr>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六、本地医疗机构6-7月份DIP支付情况</w:t>
      </w:r>
    </w:p>
    <w:p>
      <w:pPr>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六月份4家医疗机构全部处于亏损状态，人民医院就诊人次为782人，亏损19.57万元；中蒙医院就诊人次263人，亏损12.05万元；爱德医院就诊人次为31人，亏损0.24万元；仁合医院就诊人次为45人，亏损3.63万元。</w:t>
      </w:r>
    </w:p>
    <w:p>
      <w:pPr>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七月份2家医疗机构处于盈利状态，人民医院就诊人次为645人，盈利16.99万元；爱德医院就诊人次20人，盈利0.36万元。2家医疗机构仍处于亏损状态，中蒙医院就诊人次为216人，亏损5.80万元；仁合医院就诊人次为26人，亏损1.97万元。</w:t>
      </w:r>
    </w:p>
    <w:p>
      <w:pPr>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从以上数据来看，2家医疗机构已经向良性态势发展，仍有2家医疗机构需进一步加强管理，改善亏损局面。（具体数据详见附件1）</w:t>
      </w:r>
    </w:p>
    <w:p>
      <w:pPr>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七</w:t>
      </w:r>
      <w:bookmarkStart w:id="0" w:name="_GoBack"/>
      <w:bookmarkEnd w:id="0"/>
      <w:r>
        <w:rPr>
          <w:rFonts w:hint="eastAsia" w:ascii="黑体" w:hAnsi="黑体" w:eastAsia="黑体" w:cs="黑体"/>
          <w:b/>
          <w:bCs/>
          <w:color w:val="auto"/>
          <w:sz w:val="32"/>
          <w:szCs w:val="32"/>
          <w:lang w:val="en-US" w:eastAsia="zh-CN"/>
        </w:rPr>
        <w:t>、基金监管情况</w:t>
      </w:r>
    </w:p>
    <w:p>
      <w:pPr>
        <w:pageBreakBefore w:val="0"/>
        <w:kinsoku/>
        <w:wordWrap/>
        <w:overflowPunct/>
        <w:topLinePunct w:val="0"/>
        <w:autoSpaceDE/>
        <w:autoSpaceDN/>
        <w:bidi w:val="0"/>
        <w:adjustRightInd/>
        <w:snapToGrid/>
        <w:spacing w:line="560" w:lineRule="exact"/>
        <w:ind w:firstLine="643" w:firstLineChars="200"/>
        <w:textAlignment w:val="auto"/>
        <w:rPr>
          <w:rFonts w:ascii="仿宋" w:hAnsi="仿宋" w:eastAsia="仿宋"/>
          <w:b/>
          <w:bCs w:val="0"/>
          <w:color w:val="auto"/>
          <w:sz w:val="32"/>
          <w:szCs w:val="32"/>
        </w:rPr>
      </w:pPr>
      <w:r>
        <w:rPr>
          <w:rFonts w:hint="eastAsia" w:ascii="仿宋" w:hAnsi="仿宋" w:eastAsia="仿宋"/>
          <w:b/>
          <w:bCs w:val="0"/>
          <w:color w:val="auto"/>
          <w:sz w:val="32"/>
          <w:szCs w:val="32"/>
          <w:lang w:val="en-US" w:eastAsia="zh-CN"/>
        </w:rPr>
        <w:t>（一）两定医药机构管理情况</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olor w:val="auto"/>
          <w:sz w:val="32"/>
          <w:szCs w:val="32"/>
          <w:lang w:val="en-US"/>
        </w:rPr>
      </w:pPr>
      <w:r>
        <w:rPr>
          <w:rFonts w:hint="eastAsia" w:ascii="仿宋" w:hAnsi="仿宋" w:eastAsia="仿宋"/>
          <w:color w:val="auto"/>
          <w:sz w:val="32"/>
          <w:szCs w:val="32"/>
          <w:lang w:val="en-US" w:eastAsia="zh-CN"/>
        </w:rPr>
        <w:t>2023</w:t>
      </w:r>
      <w:r>
        <w:rPr>
          <w:rFonts w:hint="eastAsia" w:ascii="仿宋" w:hAnsi="仿宋" w:eastAsia="仿宋"/>
          <w:color w:val="auto"/>
          <w:sz w:val="32"/>
          <w:szCs w:val="32"/>
        </w:rPr>
        <w:t>年</w:t>
      </w:r>
      <w:r>
        <w:rPr>
          <w:rFonts w:hint="eastAsia" w:ascii="仿宋" w:hAnsi="仿宋" w:eastAsia="仿宋"/>
          <w:color w:val="auto"/>
          <w:sz w:val="32"/>
          <w:szCs w:val="32"/>
          <w:lang w:eastAsia="zh-CN"/>
        </w:rPr>
        <w:t>继续完善定点医药</w:t>
      </w:r>
      <w:r>
        <w:rPr>
          <w:rFonts w:hint="eastAsia" w:ascii="仿宋" w:hAnsi="仿宋" w:eastAsia="仿宋"/>
          <w:color w:val="auto"/>
          <w:sz w:val="32"/>
          <w:szCs w:val="32"/>
        </w:rPr>
        <w:t>机构</w:t>
      </w:r>
      <w:r>
        <w:rPr>
          <w:rFonts w:hint="eastAsia" w:ascii="仿宋" w:hAnsi="仿宋" w:eastAsia="仿宋"/>
          <w:color w:val="auto"/>
          <w:sz w:val="32"/>
          <w:szCs w:val="32"/>
          <w:lang w:eastAsia="zh-CN"/>
        </w:rPr>
        <w:t>相关信息和档案管理工作，</w:t>
      </w:r>
      <w:r>
        <w:rPr>
          <w:rFonts w:hint="eastAsia" w:ascii="仿宋" w:hAnsi="仿宋" w:eastAsia="仿宋"/>
          <w:color w:val="auto"/>
          <w:sz w:val="32"/>
          <w:szCs w:val="32"/>
          <w:lang w:val="en-US" w:eastAsia="zh-CN"/>
        </w:rPr>
        <w:t>对所有定点医药机构重新签订了医疗保障服务协议</w:t>
      </w:r>
      <w:r>
        <w:rPr>
          <w:rFonts w:hint="eastAsia" w:ascii="仿宋" w:hAnsi="仿宋" w:eastAsia="仿宋"/>
          <w:color w:val="auto"/>
          <w:sz w:val="32"/>
          <w:szCs w:val="32"/>
          <w:lang w:eastAsia="zh-CN"/>
        </w:rPr>
        <w:t>。截至</w:t>
      </w:r>
      <w:r>
        <w:rPr>
          <w:rFonts w:hint="eastAsia" w:ascii="仿宋" w:hAnsi="仿宋" w:eastAsia="仿宋"/>
          <w:color w:val="auto"/>
          <w:sz w:val="32"/>
          <w:szCs w:val="32"/>
        </w:rPr>
        <w:t>目前，我市定点医药机构共计</w:t>
      </w:r>
      <w:r>
        <w:rPr>
          <w:rFonts w:hint="eastAsia" w:ascii="仿宋" w:hAnsi="仿宋" w:eastAsia="仿宋"/>
          <w:color w:val="auto"/>
          <w:sz w:val="32"/>
          <w:szCs w:val="32"/>
          <w:lang w:val="en-US" w:eastAsia="zh-CN"/>
        </w:rPr>
        <w:t>190</w:t>
      </w:r>
      <w:r>
        <w:rPr>
          <w:rFonts w:hint="eastAsia" w:ascii="仿宋" w:hAnsi="仿宋" w:eastAsia="仿宋"/>
          <w:color w:val="auto"/>
          <w:sz w:val="32"/>
          <w:szCs w:val="32"/>
        </w:rPr>
        <w:t>家，其中</w:t>
      </w:r>
      <w:r>
        <w:rPr>
          <w:rFonts w:hint="eastAsia" w:ascii="仿宋" w:hAnsi="仿宋" w:eastAsia="仿宋"/>
          <w:color w:val="auto"/>
          <w:sz w:val="32"/>
          <w:szCs w:val="32"/>
          <w:lang w:eastAsia="zh-CN"/>
        </w:rPr>
        <w:t>医疗机构</w:t>
      </w:r>
      <w:r>
        <w:rPr>
          <w:rFonts w:hint="eastAsia" w:ascii="仿宋" w:hAnsi="仿宋" w:eastAsia="仿宋"/>
          <w:color w:val="auto"/>
          <w:sz w:val="32"/>
          <w:szCs w:val="32"/>
          <w:lang w:val="en-US" w:eastAsia="zh-CN"/>
        </w:rPr>
        <w:t>55家（公立二级医院2家、未定级3家，民营二级1家、一级2家、未定级47家）、</w:t>
      </w:r>
      <w:r>
        <w:rPr>
          <w:rFonts w:hint="eastAsia" w:ascii="仿宋" w:hAnsi="仿宋" w:eastAsia="仿宋"/>
          <w:color w:val="auto"/>
          <w:sz w:val="32"/>
          <w:szCs w:val="32"/>
        </w:rPr>
        <w:t>药店</w:t>
      </w:r>
      <w:r>
        <w:rPr>
          <w:rFonts w:hint="eastAsia" w:ascii="仿宋" w:hAnsi="仿宋" w:eastAsia="仿宋"/>
          <w:color w:val="auto"/>
          <w:sz w:val="32"/>
          <w:szCs w:val="32"/>
          <w:lang w:val="en-US" w:eastAsia="zh-CN"/>
        </w:rPr>
        <w:t>135</w:t>
      </w:r>
      <w:r>
        <w:rPr>
          <w:rFonts w:hint="eastAsia" w:ascii="仿宋" w:hAnsi="仿宋" w:eastAsia="仿宋"/>
          <w:color w:val="auto"/>
          <w:sz w:val="32"/>
          <w:szCs w:val="32"/>
        </w:rPr>
        <w:t>家</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连锁药店39家、单体药店96家</w:t>
      </w:r>
      <w:r>
        <w:rPr>
          <w:rFonts w:hint="eastAsia" w:ascii="仿宋" w:hAnsi="仿宋" w:eastAsia="仿宋"/>
          <w:color w:val="auto"/>
          <w:sz w:val="32"/>
          <w:szCs w:val="32"/>
          <w:lang w:eastAsia="zh-CN"/>
        </w:rPr>
        <w:t>）。</w:t>
      </w:r>
    </w:p>
    <w:p>
      <w:pPr>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b/>
          <w:bCs w:val="0"/>
          <w:color w:val="auto"/>
          <w:sz w:val="32"/>
          <w:szCs w:val="32"/>
          <w:lang w:val="en-US" w:eastAsia="zh-CN"/>
        </w:rPr>
      </w:pPr>
      <w:r>
        <w:rPr>
          <w:rFonts w:hint="eastAsia" w:ascii="仿宋" w:hAnsi="仿宋" w:eastAsia="仿宋"/>
          <w:b/>
          <w:bCs w:val="0"/>
          <w:color w:val="auto"/>
          <w:sz w:val="32"/>
          <w:szCs w:val="32"/>
          <w:lang w:val="en-US" w:eastAsia="zh-CN"/>
        </w:rPr>
        <w:t>（二）医保</w:t>
      </w:r>
      <w:r>
        <w:rPr>
          <w:rFonts w:hint="eastAsia" w:ascii="仿宋" w:hAnsi="仿宋" w:eastAsia="仿宋"/>
          <w:b/>
          <w:bCs w:val="0"/>
          <w:color w:val="auto"/>
          <w:sz w:val="32"/>
          <w:szCs w:val="32"/>
        </w:rPr>
        <w:t>基金监管</w:t>
      </w:r>
      <w:r>
        <w:rPr>
          <w:rFonts w:hint="eastAsia" w:ascii="仿宋" w:hAnsi="仿宋" w:eastAsia="仿宋"/>
          <w:b/>
          <w:bCs w:val="0"/>
          <w:color w:val="auto"/>
          <w:sz w:val="32"/>
          <w:szCs w:val="32"/>
          <w:lang w:val="en-US" w:eastAsia="zh-CN"/>
        </w:rPr>
        <w:t>情况</w:t>
      </w:r>
    </w:p>
    <w:p>
      <w:pPr>
        <w:numPr>
          <w:ilvl w:val="0"/>
          <w:numId w:val="0"/>
        </w:numPr>
        <w:ind w:firstLine="640" w:firstLineChars="200"/>
        <w:rPr>
          <w:rFonts w:hint="default" w:ascii="仿宋" w:hAnsi="仿宋" w:eastAsia="仿宋" w:cs="仿宋"/>
          <w:b w:val="0"/>
          <w:bCs/>
          <w:color w:val="auto"/>
          <w:sz w:val="32"/>
          <w:szCs w:val="32"/>
          <w:lang w:val="en-US" w:eastAsia="zh-CN"/>
        </w:rPr>
      </w:pPr>
      <w:r>
        <w:rPr>
          <w:rFonts w:hint="eastAsia" w:ascii="仿宋" w:hAnsi="仿宋" w:eastAsia="仿宋"/>
          <w:b w:val="0"/>
          <w:bCs/>
          <w:color w:val="auto"/>
          <w:sz w:val="32"/>
          <w:szCs w:val="32"/>
          <w:lang w:val="en-US" w:eastAsia="zh-CN"/>
        </w:rPr>
        <w:t>一是智能监控情况。2023年智能监控系统涉及3家医疗机构221条数据，存在使用限制药品、不合理收费等问题，涉及0.37万元，已拒付。二是DIP系统审核情况。2023年4-6月份涉及4家医疗机构上传结算清单，共计1121条，其中人民医院上传结算清单782条，审核通过782条。中蒙医院上传结算清单263条，审核通过263条。爱德医院上传结算清单31条，审核通过31条。仁合医院上传结算清单45条，审核通过45条。三是门诊统筹结算情况。2023年第二季度，发生门诊统筹总费用9998626.13元，统筹支付973182.96元，其中涉及公立医疗机构5家，总费用3784110.4元，统筹支付761109.84元。民营医疗机构48家，总费用6092927.4元，统筹支付198003.97元。药店67家，总费用121588.33元，统筹支付14069.15元。计入统筹支付费用在1000元以上共计15人次。对门诊统筹结算数据按照双周进行汇总上报至通辽，并参加通辽组织的双周调度视频会，汇报职工门诊统筹基金使用情况。第二季度，对门诊统筹的医疗机构进行实地稽核，抽查四家医院</w:t>
      </w:r>
      <w:r>
        <w:rPr>
          <w:rFonts w:hint="eastAsia" w:ascii="仿宋" w:hAnsi="仿宋" w:eastAsia="仿宋" w:cs="仿宋"/>
          <w:b w:val="0"/>
          <w:bCs/>
          <w:color w:val="auto"/>
          <w:sz w:val="32"/>
          <w:szCs w:val="32"/>
          <w:lang w:val="en-US" w:eastAsia="zh-CN"/>
        </w:rPr>
        <w:t>存在个别门诊统筹病历书写不规范、超剂量开药、超限制使用药品、未建立门诊统筹病历、蒙医身心疗法开具时间较长、诊断与所开药品治疗不符、医保结算单无诊断、诊断与检查项目不符等问题，涉及金额10301.14元。</w:t>
      </w:r>
    </w:p>
    <w:p>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b w:val="0"/>
          <w:bCs/>
          <w:color w:val="auto"/>
          <w:sz w:val="32"/>
          <w:szCs w:val="32"/>
          <w:lang w:val="en-US" w:eastAsia="zh-CN"/>
        </w:rPr>
      </w:pPr>
    </w:p>
    <w:p>
      <w:pPr>
        <w:pageBreakBefore w:val="0"/>
        <w:numPr>
          <w:ilvl w:val="0"/>
          <w:numId w:val="0"/>
        </w:numPr>
        <w:kinsoku/>
        <w:wordWrap/>
        <w:overflowPunct/>
        <w:topLinePunct w:val="0"/>
        <w:autoSpaceDE/>
        <w:autoSpaceDN/>
        <w:bidi w:val="0"/>
        <w:adjustRightInd/>
        <w:snapToGrid/>
        <w:spacing w:line="560" w:lineRule="exact"/>
        <w:jc w:val="both"/>
        <w:textAlignment w:val="auto"/>
        <w:rPr>
          <w:rFonts w:hint="default" w:ascii="仿宋" w:hAnsi="仿宋" w:eastAsia="仿宋" w:cs="仿宋"/>
          <w:b w:val="0"/>
          <w:bCs/>
          <w:color w:val="auto"/>
          <w:sz w:val="32"/>
          <w:szCs w:val="32"/>
          <w:lang w:val="en-US" w:eastAsia="zh-CN"/>
        </w:rPr>
      </w:pPr>
    </w:p>
    <w:p>
      <w:pPr>
        <w:jc w:val="both"/>
        <w:rPr>
          <w:b w:val="0"/>
          <w:bCs/>
          <w:color w:val="auto"/>
          <w:sz w:val="32"/>
          <w:szCs w:val="32"/>
        </w:rPr>
      </w:pPr>
    </w:p>
    <w:p>
      <w:pPr>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color w:val="auto"/>
          <w:sz w:val="32"/>
          <w:szCs w:val="32"/>
          <w:lang w:val="en-US" w:eastAsia="zh-CN"/>
        </w:rPr>
      </w:pPr>
    </w:p>
    <w:sectPr>
      <w:footerReference r:id="rId3" w:type="default"/>
      <w:pgSz w:w="11906" w:h="16838"/>
      <w:pgMar w:top="1440" w:right="1463" w:bottom="1440" w:left="146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3MTFmYTZlN2VjOTMyNjJlMDkyZWY2MGM3YzFhZDgifQ=="/>
  </w:docVars>
  <w:rsids>
    <w:rsidRoot w:val="1EAA5141"/>
    <w:rsid w:val="00C603FA"/>
    <w:rsid w:val="00D73868"/>
    <w:rsid w:val="02D12774"/>
    <w:rsid w:val="02E132C9"/>
    <w:rsid w:val="02EB239A"/>
    <w:rsid w:val="030D2310"/>
    <w:rsid w:val="058014BF"/>
    <w:rsid w:val="07351E35"/>
    <w:rsid w:val="07D478A0"/>
    <w:rsid w:val="08874912"/>
    <w:rsid w:val="089302DA"/>
    <w:rsid w:val="08E65ADD"/>
    <w:rsid w:val="09C3197A"/>
    <w:rsid w:val="09FF7EBE"/>
    <w:rsid w:val="0A2B6C07"/>
    <w:rsid w:val="0B3F7726"/>
    <w:rsid w:val="0B5F56D3"/>
    <w:rsid w:val="0BCD4D32"/>
    <w:rsid w:val="0BDE2A9B"/>
    <w:rsid w:val="0EDC703A"/>
    <w:rsid w:val="0FCE72CB"/>
    <w:rsid w:val="0FEF22F0"/>
    <w:rsid w:val="10057A48"/>
    <w:rsid w:val="10376C1E"/>
    <w:rsid w:val="108A179B"/>
    <w:rsid w:val="112C6057"/>
    <w:rsid w:val="11B147AE"/>
    <w:rsid w:val="11B30526"/>
    <w:rsid w:val="11BF6ECB"/>
    <w:rsid w:val="11C42733"/>
    <w:rsid w:val="11D84431"/>
    <w:rsid w:val="11FD132E"/>
    <w:rsid w:val="121C6C78"/>
    <w:rsid w:val="141F36B3"/>
    <w:rsid w:val="145F4995"/>
    <w:rsid w:val="149F2FE4"/>
    <w:rsid w:val="15FB4575"/>
    <w:rsid w:val="16DE6045"/>
    <w:rsid w:val="173C0FBE"/>
    <w:rsid w:val="17AE3C6A"/>
    <w:rsid w:val="19F57A56"/>
    <w:rsid w:val="1A001CAB"/>
    <w:rsid w:val="1ACE3EF7"/>
    <w:rsid w:val="1AE334AB"/>
    <w:rsid w:val="1BB6133F"/>
    <w:rsid w:val="1BC35360"/>
    <w:rsid w:val="1BE063BC"/>
    <w:rsid w:val="1CB57848"/>
    <w:rsid w:val="1CBA09BB"/>
    <w:rsid w:val="1D666D95"/>
    <w:rsid w:val="1D6D1ED1"/>
    <w:rsid w:val="1DBE097F"/>
    <w:rsid w:val="1DCB6BF8"/>
    <w:rsid w:val="1E4B45BF"/>
    <w:rsid w:val="1E8F40C9"/>
    <w:rsid w:val="1EAA5141"/>
    <w:rsid w:val="1F0028D1"/>
    <w:rsid w:val="1FD65356"/>
    <w:rsid w:val="20A76C90"/>
    <w:rsid w:val="213B5992"/>
    <w:rsid w:val="21C43199"/>
    <w:rsid w:val="21CA5B44"/>
    <w:rsid w:val="22173D48"/>
    <w:rsid w:val="22806203"/>
    <w:rsid w:val="278F197C"/>
    <w:rsid w:val="27D74B17"/>
    <w:rsid w:val="28BB61E6"/>
    <w:rsid w:val="28F25980"/>
    <w:rsid w:val="2ACB2A40"/>
    <w:rsid w:val="2B2160A9"/>
    <w:rsid w:val="2BF0264B"/>
    <w:rsid w:val="2DF61A6F"/>
    <w:rsid w:val="30744EE0"/>
    <w:rsid w:val="319000D6"/>
    <w:rsid w:val="344D18C0"/>
    <w:rsid w:val="35BF1827"/>
    <w:rsid w:val="35F602FF"/>
    <w:rsid w:val="36016012"/>
    <w:rsid w:val="360D51A6"/>
    <w:rsid w:val="3619279E"/>
    <w:rsid w:val="364A001D"/>
    <w:rsid w:val="375A4E1C"/>
    <w:rsid w:val="37B454BB"/>
    <w:rsid w:val="37FC2378"/>
    <w:rsid w:val="38606463"/>
    <w:rsid w:val="38B7004D"/>
    <w:rsid w:val="399A59A4"/>
    <w:rsid w:val="39E2207E"/>
    <w:rsid w:val="3A2A31CC"/>
    <w:rsid w:val="3A90041E"/>
    <w:rsid w:val="3AC802EF"/>
    <w:rsid w:val="3CFB49AC"/>
    <w:rsid w:val="3D3954D4"/>
    <w:rsid w:val="3E0B50C2"/>
    <w:rsid w:val="3E837199"/>
    <w:rsid w:val="3ED656D0"/>
    <w:rsid w:val="3F1461F9"/>
    <w:rsid w:val="3FF06EF9"/>
    <w:rsid w:val="40B03CFF"/>
    <w:rsid w:val="418238EE"/>
    <w:rsid w:val="427C1056"/>
    <w:rsid w:val="43020438"/>
    <w:rsid w:val="43065E58"/>
    <w:rsid w:val="436C03B1"/>
    <w:rsid w:val="437B23A2"/>
    <w:rsid w:val="441A7E0D"/>
    <w:rsid w:val="4477402F"/>
    <w:rsid w:val="44BD4DB2"/>
    <w:rsid w:val="44FF464B"/>
    <w:rsid w:val="47946129"/>
    <w:rsid w:val="47E81FD1"/>
    <w:rsid w:val="48170286"/>
    <w:rsid w:val="483300C4"/>
    <w:rsid w:val="48790E7B"/>
    <w:rsid w:val="48CE11C6"/>
    <w:rsid w:val="4A102C4A"/>
    <w:rsid w:val="4AAA7897"/>
    <w:rsid w:val="4AB34F82"/>
    <w:rsid w:val="4B26353C"/>
    <w:rsid w:val="4B644064"/>
    <w:rsid w:val="4BA61EFD"/>
    <w:rsid w:val="4CE90CC5"/>
    <w:rsid w:val="4CF5011F"/>
    <w:rsid w:val="4D5B0D0C"/>
    <w:rsid w:val="4D722A68"/>
    <w:rsid w:val="4DB766CD"/>
    <w:rsid w:val="4E2E44B5"/>
    <w:rsid w:val="4E577EB0"/>
    <w:rsid w:val="4EE45B62"/>
    <w:rsid w:val="4FB31116"/>
    <w:rsid w:val="50487343"/>
    <w:rsid w:val="50D459C5"/>
    <w:rsid w:val="51556929"/>
    <w:rsid w:val="519D3E2C"/>
    <w:rsid w:val="51B00003"/>
    <w:rsid w:val="5245699D"/>
    <w:rsid w:val="52860D64"/>
    <w:rsid w:val="54BF1173"/>
    <w:rsid w:val="55794BB0"/>
    <w:rsid w:val="55821CB6"/>
    <w:rsid w:val="56B45E9F"/>
    <w:rsid w:val="57F30C49"/>
    <w:rsid w:val="583F79EB"/>
    <w:rsid w:val="58FA7DB6"/>
    <w:rsid w:val="59805390"/>
    <w:rsid w:val="5C8877E0"/>
    <w:rsid w:val="5D0336DD"/>
    <w:rsid w:val="5DD961EC"/>
    <w:rsid w:val="603B318E"/>
    <w:rsid w:val="60DA29A7"/>
    <w:rsid w:val="61946FF9"/>
    <w:rsid w:val="6243457B"/>
    <w:rsid w:val="6261363A"/>
    <w:rsid w:val="629D0130"/>
    <w:rsid w:val="63DA0F0F"/>
    <w:rsid w:val="66AB26EF"/>
    <w:rsid w:val="66F66060"/>
    <w:rsid w:val="677F4378"/>
    <w:rsid w:val="67BD6B7E"/>
    <w:rsid w:val="67E10ABE"/>
    <w:rsid w:val="68843DBD"/>
    <w:rsid w:val="69344C1E"/>
    <w:rsid w:val="6A4B221F"/>
    <w:rsid w:val="6BA716E2"/>
    <w:rsid w:val="6BE45C8A"/>
    <w:rsid w:val="6C515AE7"/>
    <w:rsid w:val="6F0D2199"/>
    <w:rsid w:val="6FED2A0E"/>
    <w:rsid w:val="705B5186"/>
    <w:rsid w:val="70B86135"/>
    <w:rsid w:val="70C42D2B"/>
    <w:rsid w:val="71614A1E"/>
    <w:rsid w:val="71B903B6"/>
    <w:rsid w:val="73CF2113"/>
    <w:rsid w:val="75545754"/>
    <w:rsid w:val="756F2AEE"/>
    <w:rsid w:val="757C1E26"/>
    <w:rsid w:val="75ED4DB5"/>
    <w:rsid w:val="761107C1"/>
    <w:rsid w:val="7698525E"/>
    <w:rsid w:val="76E47FBF"/>
    <w:rsid w:val="770A5210"/>
    <w:rsid w:val="77585F7B"/>
    <w:rsid w:val="777059BB"/>
    <w:rsid w:val="778274A1"/>
    <w:rsid w:val="77A25449"/>
    <w:rsid w:val="77CA50CB"/>
    <w:rsid w:val="788259A6"/>
    <w:rsid w:val="79CD2C51"/>
    <w:rsid w:val="7A3A5E0C"/>
    <w:rsid w:val="7AC96566"/>
    <w:rsid w:val="7AED2C13"/>
    <w:rsid w:val="7BD5403F"/>
    <w:rsid w:val="7BDD2EF3"/>
    <w:rsid w:val="7E3F60E7"/>
    <w:rsid w:val="7E6A3164"/>
    <w:rsid w:val="7ED65174"/>
    <w:rsid w:val="7F0215EE"/>
    <w:rsid w:val="7F6F2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val="0"/>
      <w:spacing w:after="120"/>
      <w:jc w:val="both"/>
    </w:pPr>
    <w:rPr>
      <w:rFonts w:ascii="Calibri" w:hAnsi="Calibri" w:eastAsia="宋体" w:cs="Times New Roman"/>
      <w:kern w:val="2"/>
      <w:sz w:val="21"/>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w:basedOn w:val="2"/>
    <w:qFormat/>
    <w:uiPriority w:val="0"/>
    <w:pPr>
      <w:spacing w:line="360" w:lineRule="auto"/>
      <w:ind w:firstLine="420" w:firstLineChars="100"/>
    </w:pPr>
    <w:rPr>
      <w:rFonts w:ascii="宋体" w:hAnsi="宋体"/>
      <w:sz w:val="24"/>
    </w:rPr>
  </w:style>
  <w:style w:type="character" w:customStyle="1" w:styleId="8">
    <w:name w:val="font21"/>
    <w:basedOn w:val="7"/>
    <w:qFormat/>
    <w:uiPriority w:val="0"/>
    <w:rPr>
      <w:rFonts w:hint="eastAsia" w:ascii="宋体" w:hAnsi="宋体" w:eastAsia="宋体" w:cs="宋体"/>
      <w:color w:val="000000"/>
      <w:sz w:val="48"/>
      <w:szCs w:val="48"/>
      <w:u w:val="none"/>
    </w:rPr>
  </w:style>
  <w:style w:type="character" w:customStyle="1" w:styleId="9">
    <w:name w:val="font11"/>
    <w:basedOn w:val="7"/>
    <w:qFormat/>
    <w:uiPriority w:val="0"/>
    <w:rPr>
      <w:rFonts w:hint="eastAsia" w:ascii="宋体" w:hAnsi="宋体" w:eastAsia="宋体" w:cs="宋体"/>
      <w:color w:val="000000"/>
      <w:sz w:val="21"/>
      <w:szCs w:val="21"/>
      <w:u w:val="none"/>
    </w:rPr>
  </w:style>
  <w:style w:type="character" w:customStyle="1" w:styleId="10">
    <w:name w:val="font31"/>
    <w:basedOn w:val="7"/>
    <w:qFormat/>
    <w:uiPriority w:val="0"/>
    <w:rPr>
      <w:rFonts w:hint="eastAsia" w:ascii="宋体" w:hAnsi="宋体" w:eastAsia="宋体" w:cs="宋体"/>
      <w:color w:val="000000"/>
      <w:sz w:val="20"/>
      <w:szCs w:val="20"/>
      <w:u w:val="none"/>
    </w:rPr>
  </w:style>
  <w:style w:type="character" w:customStyle="1" w:styleId="11">
    <w:name w:val="font51"/>
    <w:basedOn w:val="7"/>
    <w:qFormat/>
    <w:uiPriority w:val="0"/>
    <w:rPr>
      <w:rFonts w:hint="eastAsia" w:ascii="宋体" w:hAnsi="宋体" w:eastAsia="宋体" w:cs="宋体"/>
      <w:color w:val="000000"/>
      <w:sz w:val="30"/>
      <w:szCs w:val="30"/>
      <w:u w:val="none"/>
    </w:rPr>
  </w:style>
  <w:style w:type="character" w:customStyle="1" w:styleId="12">
    <w:name w:val="font4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4200</Words>
  <Characters>6048</Characters>
  <Lines>0</Lines>
  <Paragraphs>0</Paragraphs>
  <TotalTime>23</TotalTime>
  <ScaleCrop>false</ScaleCrop>
  <LinksUpToDate>false</LinksUpToDate>
  <CharactersWithSpaces>6102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2023-04-20T07:57:00Z</dcterms:created>
  <dc:creator>WPS_1522331633</dc:creator>
  <cp:lastModifiedBy>WPS_1522331633</cp:lastModifiedBy>
  <cp:lastPrinted>2023-04-23T01:01:00Z</cp:lastPrinted>
  <dcterms:modified xsi:type="dcterms:W3CDTF">2023-08-23T01:43:09Z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62DBF67AF56D475A9233F65937F205A4_13</vt:lpwstr>
  </property>
</Properties>
</file>