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  <w:shd w:val="clear" w:fill="FFFFFF"/>
        </w:rPr>
        <w:t>八届霍林郭勒市委第四轮巡察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bdr w:val="none" w:color="auto" w:sz="0" w:space="0"/>
          <w:shd w:val="clear" w:fill="FFFFFF"/>
        </w:rPr>
        <w:t>集中反馈会召开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9月22日，八届市委第四轮巡察情况集中反馈会召开，市委常委、纪委书记、监委主任、巡察工作领导小组组长刘明国，市委常委、组织部部长、巡察工作领导小组副组长张伟出席会议。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285115</wp:posOffset>
            </wp:positionV>
            <wp:extent cx="6042660" cy="4029075"/>
            <wp:effectExtent l="0" t="0" r="15240" b="9525"/>
            <wp:wrapTopAndBottom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会议传达学习了习近平总书记关于巡视整改工作的重要论述，以及市委书记在听取八届市委第四轮巡察情况汇报时的讲话精神，通报了本轮巡察发现的共性问题和突出问题，对被巡察党组织抓好整改落实工作进行安排部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会议强调，抓好巡察问题整改，是捍卫“两个确立”、做到“两个维护”的实际行动，是推动党的二十大精神和党中央重大决策部署贯彻落实的重要抓手，是深化全面从严治党的必然要求。会议要求，各部门党组织要对标政治标尺，落实政治要求，强化责任担当，切实增强巡察整改的政治自觉、思想自觉和行动自觉，用整改的实际行动和效果践行“两个维护”。要坚持问题导向，把巡察整改体现在目标任务上、问题解决上、跟踪管理上、整改实效上，扎实推动反馈问题整改清仓见底、取得实效。既要持续深化责任，标本兼治，注重巡察整改成果运用，又要牢固树立系统观念，加强贯通融合，形成监督合力，推动全面从严治党取得更大成效。市纪委监委和市委组织部将加强对巡察整改落实的日常监督，对敷衍整改、整改不力的，严肃追责问责。市委巡察工作领导小组成员，市纪委监委、市委组织部、市委巡察办有关领导参加集中反馈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文稿：白呼和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 xml:space="preserve">                                  编辑：刘宇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 xml:space="preserve">                                  审核：尹越华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签发：陈晓芳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drawing>
          <wp:inline distT="0" distB="0" distL="114300" distR="114300">
            <wp:extent cx="1057275" cy="1057275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FjMjRjMmQ3YWY5M2MyMTAxYzgyZTcwNjQ3NzMifQ=="/>
  </w:docVars>
  <w:rsids>
    <w:rsidRoot w:val="62D30BC5"/>
    <w:rsid w:val="62D3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2023-11-21T10:26:00Z</dcterms:created>
  <dc:creator>Administrator</dc:creator>
  <cp:lastModifiedBy>Administrator</cp:lastModifiedBy>
  <dcterms:modified xsi:type="dcterms:W3CDTF">2023-11-21T10:33:47Z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DB7C055A30BB4DBFAF0C235B009F7CAB_11</vt:lpwstr>
  </property>
</Properties>
</file>