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40" w:lineRule="exact"/>
        <w:rPr>
          <w:rFonts w:ascii="宋体" w:hAnsi="宋体" w:eastAsia="宋体"/>
        </w:rPr>
      </w:pPr>
    </w:p>
    <w:p>
      <w:pPr>
        <w:pStyle w:val="6"/>
        <w:ind w:left="0"/>
        <w:rPr>
          <w:rFonts w:ascii="宋体" w:hAnsi="宋体" w:eastAsia="宋体"/>
          <w:sz w:val="24"/>
          <w:szCs w:val="24"/>
        </w:rPr>
      </w:pPr>
    </w:p>
    <w:p>
      <w:pPr>
        <w:pStyle w:val="6"/>
        <w:spacing w:before="15"/>
        <w:ind w:left="0"/>
        <w:rPr>
          <w:rFonts w:ascii="宋体" w:hAnsi="宋体" w:eastAsia="宋体"/>
          <w:sz w:val="36"/>
          <w:szCs w:val="36"/>
        </w:rPr>
      </w:pPr>
    </w:p>
    <w:p>
      <w:pPr>
        <w:pStyle w:val="6"/>
        <w:spacing w:before="15"/>
        <w:ind w:left="0"/>
        <w:rPr>
          <w:rFonts w:ascii="宋体" w:hAnsi="宋体" w:eastAsia="宋体"/>
          <w:sz w:val="36"/>
          <w:szCs w:val="36"/>
        </w:rPr>
      </w:pPr>
    </w:p>
    <w:p>
      <w:pPr>
        <w:autoSpaceDE/>
        <w:autoSpaceDN/>
        <w:jc w:val="center"/>
        <w:rPr>
          <w:rFonts w:hint="eastAsia" w:ascii="Times New Roman" w:hAnsi="Times New Roman" w:eastAsia="宋体" w:cs="Times New Roman"/>
          <w:b/>
          <w:kern w:val="2"/>
          <w:sz w:val="52"/>
          <w:szCs w:val="52"/>
        </w:rPr>
      </w:pPr>
      <w:r>
        <w:rPr>
          <w:rFonts w:hint="eastAsia" w:ascii="Times New Roman" w:hAnsi="Times New Roman" w:eastAsia="宋体" w:cs="Times New Roman"/>
          <w:b/>
          <w:kern w:val="2"/>
          <w:sz w:val="52"/>
          <w:szCs w:val="52"/>
        </w:rPr>
        <w:t>2023年度霍林郭勒市医疗保障局</w:t>
      </w:r>
    </w:p>
    <w:p>
      <w:pPr>
        <w:autoSpaceDE/>
        <w:autoSpaceDN/>
        <w:jc w:val="center"/>
        <w:rPr>
          <w:rFonts w:hint="eastAsia" w:ascii="Times New Roman" w:hAnsi="Times New Roman" w:eastAsia="宋体" w:cs="Times New Roman"/>
          <w:b/>
          <w:kern w:val="2"/>
          <w:sz w:val="52"/>
          <w:szCs w:val="52"/>
        </w:rPr>
      </w:pPr>
      <w:r>
        <w:rPr>
          <w:rFonts w:hint="eastAsia" w:ascii="Times New Roman" w:hAnsi="Times New Roman" w:eastAsia="宋体" w:cs="Times New Roman"/>
          <w:b/>
          <w:kern w:val="2"/>
          <w:sz w:val="52"/>
          <w:szCs w:val="52"/>
        </w:rPr>
        <w:t>（部门）</w:t>
      </w:r>
      <w:bookmarkStart w:id="108" w:name="_GoBack"/>
      <w:bookmarkEnd w:id="108"/>
      <w:r>
        <w:rPr>
          <w:rFonts w:hint="eastAsia" w:ascii="Times New Roman" w:hAnsi="Times New Roman" w:eastAsia="宋体" w:cs="Times New Roman"/>
          <w:b/>
          <w:kern w:val="2"/>
          <w:sz w:val="52"/>
          <w:szCs w:val="52"/>
        </w:rPr>
        <w:t>财务报告</w:t>
      </w:r>
    </w:p>
    <w:p>
      <w:pPr>
        <w:pStyle w:val="6"/>
        <w:ind w:left="0"/>
        <w:jc w:val="center"/>
        <w:rPr>
          <w:rFonts w:ascii="微软雅黑" w:hAnsi="微软雅黑" w:eastAsia="微软雅黑" w:cs="微软雅黑"/>
          <w:sz w:val="52"/>
          <w:szCs w:val="52"/>
        </w:rPr>
      </w:pPr>
    </w:p>
    <w:p>
      <w:pPr>
        <w:pStyle w:val="6"/>
        <w:ind w:left="0"/>
        <w:rPr>
          <w:rFonts w:ascii="宋体" w:hAnsi="宋体" w:eastAsia="宋体"/>
          <w:sz w:val="36"/>
          <w:szCs w:val="36"/>
        </w:rPr>
      </w:pPr>
    </w:p>
    <w:p>
      <w:pPr>
        <w:pStyle w:val="6"/>
        <w:spacing w:before="5"/>
        <w:ind w:left="0"/>
        <w:rPr>
          <w:rFonts w:ascii="宋体" w:hAnsi="宋体" w:eastAsia="宋体"/>
          <w:sz w:val="36"/>
          <w:szCs w:val="36"/>
        </w:rPr>
      </w:pPr>
    </w:p>
    <w:p>
      <w:pPr>
        <w:pStyle w:val="6"/>
        <w:spacing w:before="5"/>
        <w:ind w:left="0"/>
        <w:rPr>
          <w:rFonts w:ascii="宋体" w:hAnsi="宋体" w:eastAsia="宋体"/>
          <w:sz w:val="36"/>
          <w:szCs w:val="36"/>
        </w:rPr>
      </w:pPr>
    </w:p>
    <w:p>
      <w:pPr>
        <w:autoSpaceDE/>
        <w:autoSpaceDN/>
        <w:spacing w:line="360" w:lineRule="auto"/>
        <w:jc w:val="center"/>
        <w:rPr>
          <w:rFonts w:ascii="Times New Roman" w:hAnsi="Times New Roman" w:eastAsia="黑体" w:cs="Times New Roman"/>
          <w:b/>
          <w:kern w:val="2"/>
          <w:sz w:val="44"/>
          <w:szCs w:val="44"/>
        </w:rPr>
      </w:pPr>
      <w:r>
        <w:rPr>
          <w:rFonts w:hint="eastAsia" w:ascii="Times New Roman" w:hAnsi="Times New Roman" w:eastAsia="黑体" w:cs="Times New Roman"/>
          <w:b/>
          <w:kern w:val="2"/>
          <w:sz w:val="44"/>
          <w:szCs w:val="44"/>
          <w:lang w:val="en-US" w:eastAsia="zh-CN"/>
        </w:rPr>
        <w:t xml:space="preserve">   部门（单位）名称：霍林郭勒市医疗保障局（部门）</w:t>
      </w:r>
      <w:r>
        <w:rPr>
          <w:rFonts w:hint="eastAsia" w:ascii="Times New Roman" w:hAnsi="Times New Roman" w:eastAsia="黑体" w:cs="Times New Roman"/>
          <w:b/>
          <w:kern w:val="2"/>
          <w:sz w:val="44"/>
          <w:szCs w:val="44"/>
        </w:rPr>
        <w:t> </w:t>
      </w:r>
    </w:p>
    <w:p>
      <w:pPr>
        <w:autoSpaceDE/>
        <w:autoSpaceDN/>
        <w:spacing w:line="480" w:lineRule="auto"/>
        <w:jc w:val="both"/>
        <w:rPr>
          <w:rFonts w:hint="eastAsia" w:ascii="Times New Roman" w:hAnsi="Times New Roman" w:eastAsia="宋体" w:cs="Times New Roman"/>
          <w:kern w:val="2"/>
          <w:sz w:val="30"/>
          <w:szCs w:val="30"/>
        </w:rPr>
      </w:pPr>
    </w:p>
    <w:p>
      <w:pPr>
        <w:autoSpaceDE/>
        <w:autoSpaceDN/>
        <w:spacing w:line="480" w:lineRule="auto"/>
        <w:ind w:firstLine="2700" w:firstLineChars="900"/>
        <w:jc w:val="both"/>
        <w:rPr>
          <w:rFonts w:hint="eastAsia" w:ascii="Times New Roman" w:hAnsi="Times New Roman" w:eastAsia="宋体" w:cs="Times New Roman"/>
          <w:kern w:val="2"/>
          <w:sz w:val="30"/>
          <w:szCs w:val="30"/>
        </w:rPr>
      </w:pPr>
    </w:p>
    <w:p>
      <w:pPr>
        <w:autoSpaceDE/>
        <w:autoSpaceDN/>
        <w:spacing w:line="480" w:lineRule="auto"/>
        <w:ind w:firstLine="2700" w:firstLineChars="900"/>
        <w:jc w:val="both"/>
        <w:rPr>
          <w:rFonts w:ascii="Times New Roman" w:hAnsi="Times New Roman" w:eastAsia="宋体" w:cs="Times New Roman"/>
          <w:kern w:val="2"/>
          <w:sz w:val="30"/>
          <w:szCs w:val="30"/>
        </w:rPr>
      </w:pPr>
      <w:r>
        <w:rPr>
          <w:rFonts w:hint="eastAsia" w:ascii="Times New Roman" w:hAnsi="Times New Roman" w:eastAsia="宋体" w:cs="Times New Roman"/>
          <w:kern w:val="2"/>
          <w:sz w:val="30"/>
          <w:szCs w:val="30"/>
        </w:rPr>
        <w:t>单位负责人：李树伟</w:t>
      </w:r>
    </w:p>
    <w:p>
      <w:pPr>
        <w:autoSpaceDE/>
        <w:autoSpaceDN/>
        <w:spacing w:line="480" w:lineRule="auto"/>
        <w:ind w:firstLine="2700" w:firstLineChars="900"/>
        <w:jc w:val="both"/>
        <w:rPr>
          <w:rFonts w:ascii="Times New Roman" w:hAnsi="Times New Roman" w:eastAsia="宋体" w:cs="Times New Roman"/>
          <w:kern w:val="2"/>
          <w:sz w:val="30"/>
          <w:szCs w:val="30"/>
        </w:rPr>
      </w:pPr>
      <w:r>
        <w:rPr>
          <w:rFonts w:hint="eastAsia" w:ascii="Times New Roman" w:hAnsi="Times New Roman" w:eastAsia="宋体" w:cs="Times New Roman"/>
          <w:kern w:val="2"/>
          <w:sz w:val="30"/>
          <w:szCs w:val="30"/>
        </w:rPr>
        <w:t>财务负责人：郭静杰</w:t>
      </w:r>
    </w:p>
    <w:p>
      <w:pPr>
        <w:autoSpaceDE/>
        <w:autoSpaceDN/>
        <w:spacing w:line="480" w:lineRule="auto"/>
        <w:ind w:firstLine="2700" w:firstLineChars="900"/>
        <w:jc w:val="both"/>
        <w:rPr>
          <w:rFonts w:ascii="Times New Roman" w:hAnsi="Times New Roman" w:eastAsia="宋体" w:cs="Times New Roman"/>
          <w:kern w:val="2"/>
          <w:sz w:val="30"/>
          <w:szCs w:val="30"/>
        </w:rPr>
      </w:pPr>
      <w:r>
        <w:rPr>
          <w:rFonts w:hint="eastAsia" w:ascii="Times New Roman" w:hAnsi="Times New Roman" w:eastAsia="宋体" w:cs="Times New Roman"/>
          <w:kern w:val="2"/>
          <w:sz w:val="30"/>
          <w:szCs w:val="30"/>
        </w:rPr>
        <w:t>编制人：刘玲</w:t>
      </w:r>
    </w:p>
    <w:p>
      <w:pPr>
        <w:autoSpaceDE/>
        <w:autoSpaceDN/>
        <w:spacing w:line="480" w:lineRule="auto"/>
        <w:ind w:firstLine="2700" w:firstLineChars="900"/>
        <w:jc w:val="both"/>
        <w:rPr>
          <w:rFonts w:ascii="Times New Roman" w:hAnsi="Times New Roman" w:eastAsia="宋体" w:cs="Times New Roman"/>
          <w:kern w:val="2"/>
          <w:sz w:val="30"/>
          <w:szCs w:val="30"/>
        </w:rPr>
      </w:pPr>
      <w:r>
        <w:rPr>
          <w:rFonts w:hint="eastAsia" w:ascii="Times New Roman" w:hAnsi="Times New Roman" w:eastAsia="宋体" w:cs="Times New Roman"/>
          <w:kern w:val="2"/>
          <w:sz w:val="30"/>
          <w:szCs w:val="30"/>
        </w:rPr>
        <w:t>报送日期：2023年4月</w:t>
      </w:r>
    </w:p>
    <w:p>
      <w:pPr>
        <w:autoSpaceDE/>
        <w:autoSpaceDN/>
        <w:spacing w:line="480" w:lineRule="auto"/>
        <w:ind w:firstLine="2700" w:firstLineChars="900"/>
        <w:jc w:val="both"/>
        <w:rPr>
          <w:rFonts w:ascii="Times New Roman" w:hAnsi="Times New Roman" w:eastAsia="宋体" w:cs="Times New Roman"/>
          <w:kern w:val="2"/>
          <w:sz w:val="30"/>
          <w:szCs w:val="30"/>
        </w:rPr>
        <w:sectPr>
          <w:footerReference r:id="rId3" w:type="default"/>
          <w:pgSz w:w="11910" w:h="16840"/>
          <w:pgMar w:top="1984" w:right="1417" w:bottom="1701" w:left="1417" w:header="0" w:footer="921" w:gutter="0"/>
          <w:cols w:space="720" w:num="1"/>
        </w:sectPr>
      </w:pPr>
    </w:p>
    <w:sdt>
      <w:sdtPr>
        <w:rPr>
          <w:rFonts w:ascii="宋体" w:hAnsi="宋体" w:eastAsia="宋体" w:cs="Noto Sans Mono CJK JP Bold"/>
          <w:color w:val="auto"/>
          <w:sz w:val="24"/>
          <w:szCs w:val="24"/>
          <w:lang w:val="zh-CN"/>
        </w:rPr>
        <w:id w:val="168837417"/>
        <w:docPartObj>
          <w:docPartGallery w:val="Table of Contents"/>
          <w:docPartUnique/>
        </w:docPartObj>
      </w:sdtPr>
      <w:sdtEndPr>
        <w:rPr>
          <w:rFonts w:ascii="宋体" w:hAnsi="宋体" w:eastAsia="宋体" w:cs="Noto Sans Mono CJK JP Bold"/>
          <w:b/>
          <w:bCs/>
          <w:color w:val="auto"/>
          <w:sz w:val="24"/>
          <w:szCs w:val="24"/>
          <w:lang w:val="zh-CN"/>
        </w:rPr>
      </w:sdtEndPr>
      <w:sdtContent>
        <w:p>
          <w:pPr>
            <w:pStyle w:val="34"/>
            <w:jc w:val="center"/>
            <w:rPr>
              <w:rFonts w:hint="eastAsia" w:ascii="黑体" w:hAnsi="黑体" w:eastAsia="黑体" w:cs="黑体"/>
              <w:b/>
              <w:bCs/>
              <w:color w:val="auto"/>
              <w:sz w:val="32"/>
              <w:szCs w:val="32"/>
              <w:lang w:val="zh-CN"/>
            </w:rPr>
          </w:pPr>
          <w:r>
            <w:rPr>
              <w:rFonts w:hint="eastAsia" w:ascii="黑体" w:hAnsi="黑体" w:eastAsia="黑体" w:cs="黑体"/>
              <w:b/>
              <w:bCs/>
              <w:color w:val="auto"/>
              <w:sz w:val="32"/>
              <w:szCs w:val="32"/>
              <w:lang w:val="zh-CN"/>
            </w:rPr>
            <w:t>目  录</w:t>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Noto Sans Mono CJK JP Bold" w:hAnsi="Noto Sans Mono CJK JP Bold"/>
              <w:sz w:val="24"/>
              <w:szCs w:val="24"/>
            </w:rPr>
            <w:fldChar w:fldCharType="begin"/>
          </w:r>
          <w:r>
            <w:rPr>
              <w:rFonts w:hint="eastAsia" w:ascii="Noto Sans Mono CJK JP Bold" w:hAnsi="Noto Sans Mono CJK JP Bold"/>
              <w:sz w:val="24"/>
              <w:szCs w:val="24"/>
            </w:rPr>
            <w:instrText xml:space="preserve"> </w:instrText>
          </w:r>
          <w:r>
            <w:rPr>
              <w:rFonts w:ascii="Noto Sans Mono CJK JP Bold" w:hAnsi="Noto Sans Mono CJK JP Bold"/>
              <w:sz w:val="24"/>
              <w:szCs w:val="24"/>
            </w:rPr>
            <w:instrText xml:space="preserve">TOC \o "1-3" \h \z \u</w:instrText>
          </w:r>
          <w:r>
            <w:rPr>
              <w:rFonts w:hint="eastAsia" w:ascii="Noto Sans Mono CJK JP Bold" w:hAnsi="Noto Sans Mono CJK JP Bold"/>
              <w:sz w:val="24"/>
              <w:szCs w:val="24"/>
            </w:rPr>
            <w:instrText xml:space="preserve"> </w:instrText>
          </w:r>
          <w:r>
            <w:rPr>
              <w:rFonts w:hint="eastAsia" w:ascii="Noto Sans Mono CJK JP Bold" w:hAnsi="Noto Sans Mono CJK JP Bold"/>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"_Toc256000022" </w:instrText>
          </w:r>
          <w:r>
            <w:rPr>
              <w:rFonts w:hint="eastAsia" w:ascii="宋体" w:hAnsi="宋体" w:eastAsia="宋体" w:cs="宋体"/>
              <w:sz w:val="24"/>
              <w:szCs w:val="24"/>
            </w:rPr>
            <w:fldChar w:fldCharType="separate"/>
          </w:r>
          <w:r>
            <w:rPr>
              <w:rFonts w:hint="eastAsia" w:ascii="宋体" w:hAnsi="宋体" w:eastAsia="宋体" w:cs="宋体"/>
              <w:sz w:val="24"/>
              <w:szCs w:val="24"/>
            </w:rPr>
            <w:t>导言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_Toc256000022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"_Toc256000023" </w:instrText>
          </w:r>
          <w:r>
            <w:rPr>
              <w:rFonts w:hint="eastAsia" w:ascii="宋体" w:hAnsi="宋体" w:eastAsia="宋体" w:cs="宋体"/>
              <w:sz w:val="24"/>
              <w:szCs w:val="24"/>
            </w:rPr>
            <w:fldChar w:fldCharType="separate"/>
          </w:r>
          <w:r>
            <w:rPr>
              <w:rFonts w:hint="eastAsia" w:ascii="宋体" w:hAnsi="宋体" w:eastAsia="宋体" w:cs="宋体"/>
              <w:sz w:val="24"/>
              <w:szCs w:val="24"/>
            </w:rPr>
            <w:t>一、政府部门财务报表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_Toc256000023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"_Toc256000024" </w:instrText>
          </w:r>
          <w:r>
            <w:rPr>
              <w:rFonts w:hint="eastAsia" w:ascii="宋体" w:hAnsi="宋体" w:eastAsia="宋体" w:cs="宋体"/>
              <w:sz w:val="24"/>
              <w:szCs w:val="24"/>
            </w:rPr>
            <w:fldChar w:fldCharType="separate"/>
          </w:r>
          <w:r>
            <w:rPr>
              <w:rFonts w:hint="eastAsia" w:ascii="宋体" w:hAnsi="宋体" w:eastAsia="宋体" w:cs="宋体"/>
              <w:sz w:val="24"/>
              <w:szCs w:val="24"/>
            </w:rPr>
            <w:t>（一）政府部门会计报表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_Toc256000024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"_Toc256000025" </w:instrText>
          </w:r>
          <w:r>
            <w:rPr>
              <w:rFonts w:hint="eastAsia" w:ascii="宋体" w:hAnsi="宋体" w:eastAsia="宋体" w:cs="宋体"/>
              <w:sz w:val="24"/>
              <w:szCs w:val="24"/>
            </w:rPr>
            <w:fldChar w:fldCharType="separate"/>
          </w:r>
          <w:r>
            <w:rPr>
              <w:rFonts w:hint="eastAsia" w:ascii="宋体" w:hAnsi="宋体" w:eastAsia="宋体" w:cs="宋体"/>
              <w:sz w:val="24"/>
              <w:szCs w:val="24"/>
            </w:rPr>
            <w:t>资产负债表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_Toc256000025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"_Toc256000026" </w:instrText>
          </w:r>
          <w:r>
            <w:rPr>
              <w:rFonts w:hint="eastAsia" w:ascii="宋体" w:hAnsi="宋体" w:eastAsia="宋体" w:cs="宋体"/>
              <w:sz w:val="24"/>
              <w:szCs w:val="24"/>
            </w:rPr>
            <w:fldChar w:fldCharType="separate"/>
          </w:r>
          <w:r>
            <w:rPr>
              <w:rFonts w:hint="eastAsia" w:ascii="宋体" w:hAnsi="宋体" w:eastAsia="宋体" w:cs="宋体"/>
              <w:sz w:val="24"/>
              <w:szCs w:val="24"/>
            </w:rPr>
            <w:t>收入费用表(1)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_Toc256000026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"_Toc256000027" </w:instrText>
          </w:r>
          <w:r>
            <w:rPr>
              <w:rFonts w:hint="eastAsia" w:ascii="宋体" w:hAnsi="宋体" w:eastAsia="宋体" w:cs="宋体"/>
              <w:sz w:val="24"/>
              <w:szCs w:val="24"/>
            </w:rPr>
            <w:fldChar w:fldCharType="separate"/>
          </w:r>
          <w:r>
            <w:rPr>
              <w:rFonts w:hint="eastAsia" w:ascii="宋体" w:hAnsi="宋体" w:eastAsia="宋体" w:cs="宋体"/>
              <w:sz w:val="24"/>
              <w:szCs w:val="24"/>
            </w:rPr>
            <w:t>收入费用表(2)</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_Toc256000027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"_Toc256000029" </w:instrText>
          </w:r>
          <w:r>
            <w:rPr>
              <w:rFonts w:hint="eastAsia" w:ascii="宋体" w:hAnsi="宋体" w:eastAsia="宋体" w:cs="宋体"/>
              <w:sz w:val="24"/>
              <w:szCs w:val="24"/>
            </w:rPr>
            <w:fldChar w:fldCharType="separate"/>
          </w:r>
          <w:r>
            <w:rPr>
              <w:rFonts w:hint="eastAsia" w:ascii="宋体" w:hAnsi="宋体" w:eastAsia="宋体" w:cs="宋体"/>
              <w:sz w:val="24"/>
              <w:szCs w:val="24"/>
            </w:rPr>
            <w:t>（二）政府部门会计报表附注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_Toc256000029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"_Toc256000030" </w:instrText>
          </w:r>
          <w:r>
            <w:rPr>
              <w:rFonts w:hint="eastAsia" w:ascii="宋体" w:hAnsi="宋体" w:eastAsia="宋体" w:cs="宋体"/>
              <w:sz w:val="24"/>
              <w:szCs w:val="24"/>
            </w:rPr>
            <w:fldChar w:fldCharType="separate"/>
          </w:r>
          <w:r>
            <w:rPr>
              <w:rFonts w:hint="eastAsia" w:ascii="宋体" w:hAnsi="宋体" w:eastAsia="宋体" w:cs="宋体"/>
              <w:sz w:val="24"/>
              <w:szCs w:val="24"/>
            </w:rPr>
            <w:t>1. 会计报表编制基础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"_Toc256000031" </w:instrText>
          </w:r>
          <w:r>
            <w:rPr>
              <w:rFonts w:hint="eastAsia" w:ascii="宋体" w:hAnsi="宋体" w:eastAsia="宋体" w:cs="宋体"/>
              <w:sz w:val="24"/>
              <w:szCs w:val="24"/>
            </w:rPr>
            <w:fldChar w:fldCharType="separate"/>
          </w:r>
          <w:r>
            <w:rPr>
              <w:rFonts w:hint="eastAsia" w:ascii="宋体" w:hAnsi="宋体" w:eastAsia="宋体" w:cs="宋体"/>
              <w:sz w:val="24"/>
              <w:szCs w:val="24"/>
            </w:rPr>
            <w:t>2. 遵循相关制度规定的声明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"_Toc256000032" </w:instrText>
          </w:r>
          <w:r>
            <w:rPr>
              <w:rFonts w:hint="eastAsia" w:ascii="宋体" w:hAnsi="宋体" w:eastAsia="宋体" w:cs="宋体"/>
              <w:sz w:val="24"/>
              <w:szCs w:val="24"/>
            </w:rPr>
            <w:fldChar w:fldCharType="separate"/>
          </w:r>
          <w:r>
            <w:rPr>
              <w:rFonts w:hint="eastAsia" w:ascii="宋体" w:hAnsi="宋体" w:eastAsia="宋体" w:cs="宋体"/>
              <w:sz w:val="24"/>
              <w:szCs w:val="24"/>
            </w:rPr>
            <w:t>3. 合并范围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"_Toc256000033" </w:instrText>
          </w:r>
          <w:r>
            <w:rPr>
              <w:rFonts w:hint="eastAsia" w:ascii="宋体" w:hAnsi="宋体" w:eastAsia="宋体" w:cs="宋体"/>
              <w:sz w:val="24"/>
              <w:szCs w:val="24"/>
            </w:rPr>
            <w:fldChar w:fldCharType="separate"/>
          </w:r>
          <w:r>
            <w:rPr>
              <w:rFonts w:hint="eastAsia" w:ascii="宋体" w:hAnsi="宋体" w:eastAsia="宋体" w:cs="宋体"/>
              <w:sz w:val="24"/>
              <w:szCs w:val="24"/>
            </w:rPr>
            <w:t>4. 重要会计政策与会计估计变更情况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_Toc256000033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"_Toc256000034" </w:instrText>
          </w:r>
          <w:r>
            <w:rPr>
              <w:rFonts w:hint="eastAsia" w:ascii="宋体" w:hAnsi="宋体" w:eastAsia="宋体" w:cs="宋体"/>
              <w:sz w:val="24"/>
              <w:szCs w:val="24"/>
            </w:rPr>
            <w:fldChar w:fldCharType="separate"/>
          </w:r>
          <w:r>
            <w:rPr>
              <w:rFonts w:hint="eastAsia" w:ascii="宋体" w:hAnsi="宋体" w:eastAsia="宋体" w:cs="宋体"/>
              <w:sz w:val="24"/>
              <w:szCs w:val="24"/>
            </w:rPr>
            <w:t>5. 会计报表重要项目的明细信息及说明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"_Toc256000035" </w:instrText>
          </w:r>
          <w:r>
            <w:rPr>
              <w:rFonts w:hint="eastAsia" w:ascii="宋体" w:hAnsi="宋体" w:eastAsia="宋体" w:cs="宋体"/>
              <w:sz w:val="24"/>
              <w:szCs w:val="24"/>
            </w:rPr>
            <w:fldChar w:fldCharType="separate"/>
          </w:r>
          <w:r>
            <w:rPr>
              <w:rFonts w:hint="eastAsia" w:ascii="宋体" w:hAnsi="宋体" w:eastAsia="宋体" w:cs="宋体"/>
              <w:sz w:val="24"/>
              <w:szCs w:val="24"/>
            </w:rPr>
            <w:t>6. 需要说明的其他事项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"_Toc256000036" </w:instrText>
          </w:r>
          <w:r>
            <w:rPr>
              <w:rFonts w:hint="eastAsia" w:ascii="宋体" w:hAnsi="宋体" w:eastAsia="宋体" w:cs="宋体"/>
              <w:sz w:val="24"/>
              <w:szCs w:val="24"/>
            </w:rPr>
            <w:fldChar w:fldCharType="separate"/>
          </w:r>
          <w:r>
            <w:rPr>
              <w:rFonts w:hint="eastAsia" w:ascii="宋体" w:hAnsi="宋体" w:eastAsia="宋体" w:cs="宋体"/>
              <w:sz w:val="24"/>
              <w:szCs w:val="24"/>
            </w:rPr>
            <w:t>二、政府部门财务分析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"_Toc256000037" </w:instrText>
          </w:r>
          <w:r>
            <w:rPr>
              <w:rFonts w:hint="eastAsia" w:ascii="宋体" w:hAnsi="宋体" w:eastAsia="宋体" w:cs="宋体"/>
              <w:sz w:val="24"/>
              <w:szCs w:val="24"/>
            </w:rPr>
            <w:fldChar w:fldCharType="separate"/>
          </w:r>
          <w:r>
            <w:rPr>
              <w:rFonts w:hint="eastAsia" w:ascii="宋体" w:hAnsi="宋体" w:eastAsia="宋体" w:cs="宋体"/>
              <w:sz w:val="24"/>
              <w:szCs w:val="24"/>
            </w:rPr>
            <w:t>（一）政府部门工作目标完成情况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"_Toc256000038" </w:instrText>
          </w:r>
          <w:r>
            <w:rPr>
              <w:rFonts w:hint="eastAsia" w:ascii="宋体" w:hAnsi="宋体" w:eastAsia="宋体" w:cs="宋体"/>
              <w:sz w:val="24"/>
              <w:szCs w:val="24"/>
            </w:rPr>
            <w:fldChar w:fldCharType="separate"/>
          </w:r>
          <w:r>
            <w:rPr>
              <w:rFonts w:hint="eastAsia" w:ascii="宋体" w:hAnsi="宋体" w:eastAsia="宋体" w:cs="宋体"/>
              <w:sz w:val="24"/>
              <w:szCs w:val="24"/>
            </w:rPr>
            <w:t>（二）政府部门财务状况分析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"_Toc256000039" </w:instrText>
          </w:r>
          <w:r>
            <w:rPr>
              <w:rFonts w:hint="eastAsia" w:ascii="宋体" w:hAnsi="宋体" w:eastAsia="宋体" w:cs="宋体"/>
              <w:sz w:val="24"/>
              <w:szCs w:val="24"/>
            </w:rPr>
            <w:fldChar w:fldCharType="separate"/>
          </w:r>
          <w:r>
            <w:rPr>
              <w:rFonts w:hint="eastAsia" w:ascii="宋体" w:hAnsi="宋体" w:eastAsia="宋体" w:cs="宋体"/>
              <w:sz w:val="24"/>
              <w:szCs w:val="24"/>
            </w:rPr>
            <w:t>（三）政府部门运行情况分析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_Toc256000039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"_Toc256000040" </w:instrText>
          </w:r>
          <w:r>
            <w:rPr>
              <w:rFonts w:hint="eastAsia" w:ascii="宋体" w:hAnsi="宋体" w:eastAsia="宋体" w:cs="宋体"/>
              <w:sz w:val="24"/>
              <w:szCs w:val="24"/>
            </w:rPr>
            <w:fldChar w:fldCharType="separate"/>
          </w:r>
          <w:r>
            <w:rPr>
              <w:rFonts w:hint="eastAsia" w:ascii="宋体" w:hAnsi="宋体" w:eastAsia="宋体" w:cs="宋体"/>
              <w:sz w:val="24"/>
              <w:szCs w:val="24"/>
            </w:rPr>
            <w:t>（四）政府部门财务管理情况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_Toc256000040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"_Toc256000041" </w:instrText>
          </w:r>
          <w:r>
            <w:rPr>
              <w:rFonts w:hint="eastAsia" w:ascii="宋体" w:hAnsi="宋体" w:eastAsia="宋体" w:cs="宋体"/>
              <w:sz w:val="24"/>
              <w:szCs w:val="24"/>
            </w:rPr>
            <w:fldChar w:fldCharType="separate"/>
          </w:r>
          <w:r>
            <w:rPr>
              <w:rFonts w:hint="eastAsia" w:ascii="宋体" w:hAnsi="宋体" w:eastAsia="宋体" w:cs="宋体"/>
              <w:sz w:val="24"/>
              <w:szCs w:val="24"/>
            </w:rPr>
            <w:t>附件：补充报表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_Toc256000041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"_Toc256000042" </w:instrText>
          </w:r>
          <w:r>
            <w:rPr>
              <w:rFonts w:hint="eastAsia" w:ascii="宋体" w:hAnsi="宋体" w:eastAsia="宋体" w:cs="宋体"/>
              <w:sz w:val="24"/>
              <w:szCs w:val="24"/>
            </w:rPr>
            <w:fldChar w:fldCharType="separate"/>
          </w:r>
          <w:r>
            <w:rPr>
              <w:rFonts w:hint="eastAsia" w:ascii="宋体" w:hAnsi="宋体" w:eastAsia="宋体" w:cs="宋体"/>
              <w:sz w:val="24"/>
              <w:szCs w:val="24"/>
            </w:rPr>
            <w:t>1.应付工程款情况表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_Toc256000042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9736"/>
            </w:tabs>
            <w:kinsoku/>
            <w:wordWrap/>
            <w:overflowPunct/>
            <w:topLinePunct w:val="0"/>
            <w:autoSpaceDE w:val="0"/>
            <w:autoSpaceDN w:val="0"/>
            <w:bidi w:val="0"/>
            <w:adjustRightInd/>
            <w:snapToGrid/>
            <w:spacing w:line="460" w:lineRule="exact"/>
            <w:ind w:firstLine="480" w:firstLineChars="200"/>
            <w:textAlignment w:val="auto"/>
            <w:rPr>
              <w:rFonts w:asciiTheme="minorHAnsi" w:hAnsiTheme="minorHAnsi"/>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"_Toc256000043" </w:instrText>
          </w:r>
          <w:r>
            <w:rPr>
              <w:rFonts w:hint="eastAsia" w:ascii="宋体" w:hAnsi="宋体" w:eastAsia="宋体" w:cs="宋体"/>
              <w:sz w:val="24"/>
              <w:szCs w:val="24"/>
            </w:rPr>
            <w:fldChar w:fldCharType="separate"/>
          </w:r>
          <w:r>
            <w:rPr>
              <w:rFonts w:hint="eastAsia" w:ascii="宋体" w:hAnsi="宋体" w:eastAsia="宋体" w:cs="宋体"/>
              <w:sz w:val="24"/>
              <w:szCs w:val="24"/>
            </w:rPr>
            <w:t>2.本年预算结余与盈余调节表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_Toc256000043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9736"/>
            </w:tabs>
            <w:ind w:left="880"/>
            <w:rPr>
              <w:rFonts w:hint="eastAsia" w:ascii="Noto Sans Mono CJK JP Bold" w:hAnsi="Noto Sans Mono CJK JP Bold"/>
              <w:szCs w:val="24"/>
            </w:rPr>
            <w:sectPr>
              <w:pgSz w:w="11906" w:h="16838"/>
              <w:pgMar w:top="1984" w:right="1417" w:bottom="1701" w:left="1417" w:header="0" w:footer="0" w:gutter="0"/>
              <w:cols w:space="0" w:num="1"/>
              <w:formProt w:val="0"/>
              <w:rtlGutter w:val="0"/>
              <w:docGrid w:linePitch="100" w:charSpace="0"/>
            </w:sectPr>
          </w:pPr>
          <w:r>
            <w:rPr>
              <w:rFonts w:hint="eastAsia" w:ascii="Noto Sans Mono CJK JP Bold" w:hAnsi="Noto Sans Mono CJK JP Bold"/>
              <w:szCs w:val="24"/>
            </w:rPr>
            <w:fldChar w:fldCharType="end"/>
          </w:r>
        </w:p>
      </w:sdtContent>
    </w:sdt>
    <w:p>
      <w:pPr>
        <w:pStyle w:val="2"/>
        <w:keepNext w:val="0"/>
        <w:keepLines w:val="0"/>
        <w:pageBreakBefore w:val="0"/>
        <w:widowControl w:val="0"/>
        <w:numPr>
          <w:ilvl w:val="0"/>
          <w:numId w:val="0"/>
        </w:numPr>
        <w:kinsoku/>
        <w:wordWrap/>
        <w:overflowPunct/>
        <w:topLinePunct w:val="0"/>
        <w:autoSpaceDE w:val="0"/>
        <w:autoSpaceDN w:val="0"/>
        <w:bidi w:val="0"/>
        <w:adjustRightInd/>
        <w:snapToGrid/>
        <w:ind w:leftChars="0"/>
        <w:jc w:val="center"/>
        <w:textAlignment w:val="auto"/>
        <w:rPr>
          <w:rFonts w:hint="eastAsia" w:ascii="黑体" w:hAnsi="黑体" w:eastAsia="黑体" w:cs="黑体"/>
          <w:b w:val="0"/>
          <w:bCs w:val="0"/>
          <w:sz w:val="32"/>
          <w:szCs w:val="32"/>
          <w:lang w:val="en-US"/>
        </w:rPr>
      </w:pPr>
      <w:bookmarkStart w:id="0" w:name="_Toc21021"/>
      <w:bookmarkStart w:id="1" w:name="_Toc256000000"/>
      <w:bookmarkStart w:id="2" w:name="_Toc256000022"/>
      <w:bookmarkStart w:id="3" w:name="_Toc4022"/>
      <w:bookmarkStart w:id="4" w:name="_Toc1111532954"/>
      <w:bookmarkStart w:id="5" w:name="_Toc11995"/>
      <w:r>
        <w:rPr>
          <w:rFonts w:hint="eastAsia" w:ascii="黑体" w:hAnsi="黑体" w:eastAsia="黑体" w:cs="黑体"/>
          <w:b w:val="0"/>
          <w:bCs w:val="0"/>
          <w:sz w:val="32"/>
          <w:szCs w:val="32"/>
          <w:lang w:val="en-US"/>
        </w:rPr>
        <w:t>导</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言</w:t>
      </w:r>
      <w:bookmarkEnd w:id="0"/>
      <w:bookmarkEnd w:id="1"/>
      <w:bookmarkEnd w:id="2"/>
    </w:p>
    <w:p>
      <w:pPr>
        <w:rPr>
          <w:rFonts w:ascii="黑体" w:hAnsi="黑体" w:eastAsia="黑体" w:cs="黑体"/>
          <w:sz w:val="30"/>
          <w:szCs w:val="30"/>
        </w:rPr>
      </w:pP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bookmarkStart w:id="6" w:name="a000"/>
      <w:r>
        <w:rPr>
          <w:rFonts w:hint="eastAsia" w:ascii="宋体" w:hAnsi="宋体" w:eastAsia="宋体" w:cs="宋体"/>
          <w:sz w:val="24"/>
          <w:szCs w:val="24"/>
        </w:rPr>
        <w:t>为全面反映本部门财务状况和运行情况，霍林郭勒市医疗保障局（部门）组织编制了《2023年度霍林郭勒市医疗保障局（部门）财务报告》（以下简称《报告》）。简要情况如下：</w:t>
      </w:r>
    </w:p>
    <w:p>
      <w:pPr>
        <w:keepNext w:val="0"/>
        <w:keepLines w:val="0"/>
        <w:pageBreakBefore w:val="0"/>
        <w:widowControl/>
        <w:pBdr>
          <w:left w:val="none" w:color="auto" w:sz="0" w:space="30"/>
        </w:pBdr>
        <w:kinsoku/>
        <w:wordWrap/>
        <w:overflowPunct/>
        <w:topLinePunct w:val="0"/>
        <w:autoSpaceDE/>
        <w:autoSpaceDN/>
        <w:bidi w:val="0"/>
        <w:adjustRightInd/>
        <w:snapToGrid/>
        <w:spacing w:before="0" w:beforeLines="80" w:after="0" w:afterLines="50" w:line="240" w:lineRule="auto"/>
        <w:ind w:left="0"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一、《报告》编制基本情况</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报告依据本单位登记完整、核对无误的账簿记录和其他有关会计核算资料编制，经过与资产及决算对账，能做到账证相符、账实相符、账表相符、表表相符，编制的会计报表符合政府会计准则、相关会计制度和财务报告编制规定的要求，真实、准确、完整地反映了本单位财务状况和运行情况。    </w:t>
      </w:r>
    </w:p>
    <w:p>
      <w:pPr>
        <w:keepNext w:val="0"/>
        <w:keepLines w:val="0"/>
        <w:pageBreakBefore w:val="0"/>
        <w:widowControl/>
        <w:pBdr>
          <w:left w:val="none" w:color="auto" w:sz="0" w:space="30"/>
        </w:pBdr>
        <w:kinsoku/>
        <w:wordWrap/>
        <w:overflowPunct/>
        <w:topLinePunct w:val="0"/>
        <w:autoSpaceDE/>
        <w:autoSpaceDN/>
        <w:bidi w:val="0"/>
        <w:adjustRightInd/>
        <w:snapToGrid/>
        <w:spacing w:before="0" w:beforeLines="80" w:after="0" w:afterLines="50" w:line="240" w:lineRule="auto"/>
        <w:ind w:left="0"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二、本部门财务状况和运行情况</w:t>
      </w:r>
    </w:p>
    <w:p>
      <w:pPr>
        <w:keepNext w:val="0"/>
        <w:keepLines w:val="0"/>
        <w:pageBreakBefore w:val="0"/>
        <w:widowControl/>
        <w:pBdr>
          <w:left w:val="none" w:color="auto" w:sz="0" w:space="30"/>
        </w:pBdr>
        <w:kinsoku/>
        <w:wordWrap/>
        <w:overflowPunct/>
        <w:topLinePunct w:val="0"/>
        <w:autoSpaceDE/>
        <w:autoSpaceDN/>
        <w:bidi w:val="0"/>
        <w:adjustRightInd/>
        <w:snapToGrid/>
        <w:spacing w:before="0" w:beforeLines="50" w:after="0" w:afterLines="50" w:line="240" w:lineRule="auto"/>
        <w:ind w:left="0"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）资产负债情况。</w:t>
      </w:r>
    </w:p>
    <w:p>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2023年末部门资产总额47.13万元、负债总额0.24万元、净资产总额46.89万元。资产负债率为0.51%，较2022下降19.10%，表明2023年资产负债率较低，财务状况良好。</w:t>
      </w:r>
    </w:p>
    <w:p>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本部门资产主要包括货币资金、其他应收款、固定资产。其中货币资金0.48万元、固定资产净值46.65万元。货币资金较2022年降幅较大的原因为2022年的养老、医疗保险等个人部分已缴纳，导致2023年货币资金减少。2023年医疗保障局购入信息化设备15.84万元，2023年固定资产净值较2022年变动率较高。</w:t>
      </w:r>
    </w:p>
    <w:p>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（2）本部门负债主要包括其他应交税费、应付职工薪酬、其他应付款。其中：其它应交税费0.08万元、应付职工薪酬0.13万元、其它应付款0.03万元。</w:t>
      </w:r>
    </w:p>
    <w:p>
      <w:pPr>
        <w:keepNext w:val="0"/>
        <w:keepLines w:val="0"/>
        <w:pageBreakBefore w:val="0"/>
        <w:widowControl/>
        <w:pBdr>
          <w:left w:val="none" w:color="auto" w:sz="0" w:space="30"/>
        </w:pBdr>
        <w:kinsoku/>
        <w:wordWrap/>
        <w:overflowPunct/>
        <w:topLinePunct w:val="0"/>
        <w:autoSpaceDE/>
        <w:autoSpaceDN/>
        <w:bidi w:val="0"/>
        <w:adjustRightInd/>
        <w:snapToGrid/>
        <w:spacing w:before="0" w:beforeLines="50" w:after="0" w:afterLines="50" w:line="240" w:lineRule="auto"/>
        <w:ind w:left="0"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）收入费用情况。</w:t>
      </w:r>
    </w:p>
    <w:p>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2023年度部门收入总额2,419.94万元，费用总额2,412.40万元，收入费用相抵后本年盈余7.54万元。收入费用率为99.69%，较上年2022减少0.39%，表明收入费用基本持平，2023年较2022年收入费用变动率不大。</w:t>
      </w:r>
    </w:p>
    <w:p>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（1）本部门收入主要包括财政拨款收入及利息收入。</w:t>
      </w:r>
    </w:p>
    <w:p>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（2）本部门费用主要包括本年业务活动费主要用于办公费、印刷费、手续费、邮电费、差旅费、租赁费、劳务费、工会经费、其他交通费用及其他商品服务支出。</w:t>
      </w:r>
    </w:p>
    <w:p>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（3）《报告》反映的收入费用与部门决算反映的收入支出的主要差异情况。无差异。</w:t>
      </w:r>
    </w:p>
    <w:bookmarkEnd w:id="6"/>
    <w:p>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sectPr>
          <w:pgSz w:w="11910" w:h="16840"/>
          <w:pgMar w:top="1984" w:right="1417" w:bottom="1701" w:left="1417" w:header="0" w:footer="921" w:gutter="0"/>
          <w:cols w:space="720" w:num="1"/>
        </w:sectPr>
      </w:pPr>
    </w:p>
    <w:p>
      <w:pPr>
        <w:ind w:firstLine="602" w:firstLineChars="200"/>
        <w:outlineLvl w:val="0"/>
        <w:rPr>
          <w:rFonts w:ascii="黑体" w:hAnsi="黑体" w:eastAsia="黑体" w:cs="黑体"/>
          <w:b/>
          <w:bCs/>
          <w:sz w:val="30"/>
          <w:szCs w:val="30"/>
        </w:rPr>
      </w:pPr>
      <w:bookmarkStart w:id="7" w:name="_Toc256000023"/>
      <w:bookmarkStart w:id="8" w:name="_Toc256000001"/>
      <w:r>
        <w:rPr>
          <w:rFonts w:hint="eastAsia" w:ascii="黑体" w:hAnsi="黑体" w:eastAsia="黑体" w:cs="黑体"/>
          <w:b/>
          <w:bCs/>
          <w:sz w:val="30"/>
          <w:szCs w:val="30"/>
        </w:rPr>
        <w:t>一、政府部门财务报表</w:t>
      </w:r>
      <w:bookmarkEnd w:id="3"/>
      <w:bookmarkEnd w:id="4"/>
      <w:bookmarkEnd w:id="5"/>
      <w:bookmarkEnd w:id="7"/>
      <w:bookmarkEnd w:id="8"/>
    </w:p>
    <w:p>
      <w:pPr>
        <w:widowControl/>
        <w:autoSpaceDE/>
        <w:autoSpaceDN/>
        <w:rPr>
          <w:rFonts w:ascii="Times New Roman" w:hAnsi="Times New Roman" w:eastAsia="Times New Roman" w:cs="Times New Roman"/>
          <w:sz w:val="24"/>
          <w:szCs w:val="24"/>
        </w:rPr>
      </w:pPr>
      <w:bookmarkStart w:id="9" w:name="a002"/>
      <w:bookmarkEnd w:id="9"/>
      <w:bookmarkStart w:id="10" w:name="_Toc574112625"/>
    </w:p>
    <w:p>
      <w:pPr>
        <w:pStyle w:val="3"/>
        <w:tabs>
          <w:tab w:val="left" w:pos="8585"/>
        </w:tabs>
        <w:spacing w:before="0" w:after="0" w:line="240" w:lineRule="auto"/>
        <w:ind w:firstLine="602" w:firstLineChars="200"/>
        <w:jc w:val="both"/>
        <w:rPr>
          <w:rFonts w:ascii="楷体_GB2312" w:hAnsi="楷体_GB2312" w:eastAsia="楷体_GB2312" w:cs="楷体_GB2312"/>
          <w:sz w:val="30"/>
          <w:szCs w:val="30"/>
        </w:rPr>
      </w:pPr>
      <w:bookmarkStart w:id="11" w:name="_Toc256000002"/>
      <w:bookmarkStart w:id="12" w:name="_Toc9979"/>
      <w:bookmarkStart w:id="13" w:name="_Toc17453"/>
      <w:bookmarkStart w:id="14" w:name="_Toc256000024"/>
      <w:r>
        <w:rPr>
          <w:rFonts w:hint="eastAsia" w:ascii="楷体_GB2312" w:hAnsi="楷体_GB2312" w:eastAsia="楷体_GB2312" w:cs="楷体_GB2312"/>
          <w:sz w:val="30"/>
          <w:szCs w:val="30"/>
        </w:rPr>
        <w:t>（一）政府部门会计报表</w:t>
      </w:r>
      <w:bookmarkEnd w:id="10"/>
      <w:bookmarkEnd w:id="11"/>
      <w:bookmarkEnd w:id="12"/>
      <w:bookmarkEnd w:id="13"/>
      <w:bookmarkEnd w:id="14"/>
      <w:r>
        <w:rPr>
          <w:rFonts w:ascii="楷体_GB2312" w:hAnsi="楷体_GB2312" w:eastAsia="楷体_GB2312" w:cs="楷体_GB2312"/>
          <w:sz w:val="30"/>
          <w:szCs w:val="30"/>
        </w:rPr>
        <w:tab/>
      </w:r>
    </w:p>
    <w:p>
      <w:pPr>
        <w:widowControl/>
        <w:autoSpaceDE/>
        <w:autoSpaceDN/>
        <w:rPr>
          <w:rFonts w:ascii="Times New Roman" w:hAnsi="Times New Roman" w:eastAsia="Times New Roman" w:cs="Times New Roman"/>
          <w:sz w:val="24"/>
          <w:szCs w:val="24"/>
        </w:rPr>
      </w:pPr>
      <w:bookmarkStart w:id="15" w:name="a003"/>
      <w:bookmarkEnd w:id="15"/>
      <w:r>
        <w:rPr>
          <w:rFonts w:hint="eastAsia" w:ascii="宋体" w:hAnsi="宋体" w:eastAsia="宋体"/>
          <w:sz w:val="30"/>
          <w:szCs w:val="30"/>
        </w:rPr>
        <w:t>表 1</w:t>
      </w:r>
    </w:p>
    <w:p>
      <w:pPr>
        <w:pStyle w:val="4"/>
        <w:spacing w:before="0" w:after="0" w:line="240" w:lineRule="auto"/>
        <w:jc w:val="center"/>
        <w:rPr>
          <w:rFonts w:ascii="宋体" w:hAnsi="宋体" w:eastAsia="宋体"/>
          <w:sz w:val="28"/>
          <w:szCs w:val="28"/>
        </w:rPr>
      </w:pPr>
      <w:bookmarkStart w:id="16" w:name="_Toc256000025"/>
      <w:bookmarkStart w:id="17" w:name="_Toc256000003"/>
      <w:bookmarkStart w:id="18" w:name="_Toc27834"/>
      <w:bookmarkStart w:id="19" w:name="_Toc20060"/>
      <w:bookmarkStart w:id="20" w:name="_Toc466862404"/>
      <w:r>
        <w:rPr>
          <w:rFonts w:hint="eastAsia" w:ascii="宋体" w:hAnsi="宋体" w:eastAsia="宋体" w:cs="宋体"/>
          <w:sz w:val="28"/>
          <w:szCs w:val="28"/>
        </w:rPr>
        <w:t>资产负债表</w:t>
      </w:r>
      <w:bookmarkEnd w:id="16"/>
      <w:bookmarkEnd w:id="17"/>
      <w:bookmarkEnd w:id="18"/>
      <w:bookmarkEnd w:id="19"/>
      <w:bookmarkEnd w:id="20"/>
    </w:p>
    <w:p/>
    <w:tbl>
      <w:tblPr>
        <w:tblStyle w:val="19"/>
        <w:tblW w:w="5000" w:type="pct"/>
        <w:jc w:val="center"/>
        <w:tblLayout w:type="autofit"/>
        <w:tblCellMar>
          <w:top w:w="15" w:type="dxa"/>
          <w:left w:w="15" w:type="dxa"/>
          <w:bottom w:w="15" w:type="dxa"/>
          <w:right w:w="15" w:type="dxa"/>
        </w:tblCellMar>
      </w:tblPr>
      <w:tblGrid>
        <w:gridCol w:w="3513"/>
        <w:gridCol w:w="1773"/>
        <w:gridCol w:w="1915"/>
        <w:gridCol w:w="1915"/>
      </w:tblGrid>
      <w:tr>
        <w:tblPrEx>
          <w:tblCellMar>
            <w:top w:w="15" w:type="dxa"/>
            <w:left w:w="15" w:type="dxa"/>
            <w:bottom w:w="15" w:type="dxa"/>
            <w:right w:w="15" w:type="dxa"/>
          </w:tblCellMar>
        </w:tblPrEx>
        <w:trPr>
          <w:trHeight w:val="330" w:hRule="atLeast"/>
          <w:tblHeader/>
          <w:jc w:val="center"/>
        </w:trPr>
        <w:tc>
          <w:tcPr>
            <w:tcW w:w="2130" w:type="dxa"/>
            <w:gridSpan w:val="2"/>
            <w:tcBorders>
              <w:bottom w:val="single" w:color="000000" w:sz="12" w:space="0"/>
            </w:tcBorders>
            <w:tcMar>
              <w:top w:w="20" w:type="dxa"/>
              <w:left w:w="20" w:type="dxa"/>
              <w:bottom w:w="3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宋体" w:hAnsi="宋体" w:eastAsia="宋体" w:cs="宋体"/>
                <w:color w:val="000000"/>
                <w:sz w:val="24"/>
                <w:szCs w:val="24"/>
              </w:rPr>
              <w:t>编制单位</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霍林郭勒市医疗保障局（部门）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2023</w:t>
            </w:r>
            <w:r>
              <w:rPr>
                <w:rFonts w:ascii="宋体" w:hAnsi="宋体" w:eastAsia="宋体" w:cs="宋体"/>
                <w:color w:val="000000"/>
                <w:sz w:val="18"/>
                <w:szCs w:val="18"/>
              </w:rPr>
              <w:t>年</w:t>
            </w:r>
            <w:r>
              <w:rPr>
                <w:rFonts w:ascii="Times New Roman" w:hAnsi="Times New Roman" w:eastAsia="Times New Roman" w:cs="Times New Roman"/>
                <w:color w:val="000000"/>
                <w:sz w:val="18"/>
                <w:szCs w:val="18"/>
              </w:rPr>
              <w:t>12</w:t>
            </w:r>
            <w:r>
              <w:rPr>
                <w:rFonts w:ascii="宋体" w:hAnsi="宋体" w:eastAsia="宋体" w:cs="宋体"/>
                <w:color w:val="000000"/>
                <w:sz w:val="18"/>
                <w:szCs w:val="18"/>
              </w:rPr>
              <w:t>月</w:t>
            </w:r>
            <w:r>
              <w:rPr>
                <w:rFonts w:ascii="Times New Roman" w:hAnsi="Times New Roman" w:eastAsia="Times New Roman" w:cs="Times New Roman"/>
                <w:color w:val="000000"/>
                <w:sz w:val="18"/>
                <w:szCs w:val="18"/>
              </w:rPr>
              <w:t>31</w:t>
            </w:r>
            <w:r>
              <w:rPr>
                <w:rFonts w:ascii="宋体" w:hAnsi="宋体" w:eastAsia="宋体" w:cs="宋体"/>
                <w:color w:val="000000"/>
                <w:sz w:val="18"/>
                <w:szCs w:val="18"/>
              </w:rPr>
              <w:t>日</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项目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附</w:t>
            </w:r>
            <w:r>
              <w:rPr>
                <w:rFonts w:ascii="Times New Roman" w:hAnsi="Times New Roman" w:eastAsia="Times New Roman" w:cs="Times New Roman"/>
                <w:b/>
                <w:bCs/>
                <w:color w:val="000000"/>
                <w:sz w:val="24"/>
                <w:szCs w:val="24"/>
              </w:rPr>
              <w:t xml:space="preserve"> </w:t>
            </w:r>
            <w:r>
              <w:rPr>
                <w:rFonts w:ascii="宋体" w:hAnsi="宋体" w:eastAsia="宋体" w:cs="宋体"/>
                <w:b/>
                <w:bCs/>
                <w:color w:val="000000"/>
                <w:sz w:val="24"/>
                <w:szCs w:val="24"/>
              </w:rPr>
              <w:t>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年末数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年初数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流动资产：</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货币资金</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0.48</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9.68</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短期投资</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财政应返还额度</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应收票据</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应收账款净额</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3</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预付账款</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4</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应收股利</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应收利息</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其他应收款净额</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5</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存货</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待摊费用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一年内到期的非流动资产</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其他流动资产</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流动资产合计</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0.48</w:t>
            </w: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9.78</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非流动资产：</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长期股权投资</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6</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长期债券投资</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6</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固定资产原值</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184.55</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168.05</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450"/>
              <w:rPr>
                <w:rFonts w:ascii="Times New Roman" w:hAnsi="Times New Roman" w:eastAsia="Times New Roman" w:cs="Times New Roman"/>
                <w:color w:val="000000"/>
                <w:sz w:val="24"/>
                <w:szCs w:val="24"/>
              </w:rPr>
            </w:pPr>
            <w:r>
              <w:rPr>
                <w:rFonts w:ascii="宋体" w:hAnsi="宋体" w:eastAsia="宋体" w:cs="宋体"/>
                <w:color w:val="000000"/>
                <w:sz w:val="24"/>
                <w:szCs w:val="24"/>
              </w:rPr>
              <w:t>减：固定资产累计折旧</w:t>
            </w:r>
          </w:p>
        </w:tc>
        <w:tc>
          <w:tcPr>
            <w:tcW w:w="2130" w:type="dxa"/>
            <w:tcMar>
              <w:top w:w="20" w:type="dxa"/>
              <w:left w:w="20" w:type="dxa"/>
              <w:bottom w:w="20" w:type="dxa"/>
              <w:right w:w="20" w:type="dxa"/>
            </w:tcMar>
            <w:vAlign w:val="center"/>
          </w:tcPr>
          <w:p>
            <w:pPr>
              <w:widowControl/>
              <w:autoSpaceDE/>
              <w:autoSpaceDN/>
              <w:ind w:firstLine="450"/>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137.90</w:t>
            </w:r>
          </w:p>
        </w:tc>
        <w:tc>
          <w:tcPr>
            <w:tcW w:w="2130" w:type="dxa"/>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128.88</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固定资产净值</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7</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46.65</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39.17</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工程物资</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在建工程</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8</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无形资产原值</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0.50</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450"/>
              <w:rPr>
                <w:rFonts w:ascii="Times New Roman" w:hAnsi="Times New Roman" w:eastAsia="Times New Roman" w:cs="Times New Roman"/>
                <w:color w:val="000000"/>
                <w:sz w:val="24"/>
                <w:szCs w:val="24"/>
              </w:rPr>
            </w:pPr>
            <w:r>
              <w:rPr>
                <w:rFonts w:ascii="宋体" w:hAnsi="宋体" w:eastAsia="宋体" w:cs="宋体"/>
                <w:color w:val="000000"/>
                <w:sz w:val="24"/>
                <w:szCs w:val="24"/>
              </w:rPr>
              <w:t>减：无形资产累计摊销</w:t>
            </w:r>
          </w:p>
        </w:tc>
        <w:tc>
          <w:tcPr>
            <w:tcW w:w="2130" w:type="dxa"/>
            <w:tcMar>
              <w:top w:w="20" w:type="dxa"/>
              <w:left w:w="20" w:type="dxa"/>
              <w:bottom w:w="20" w:type="dxa"/>
              <w:right w:w="20" w:type="dxa"/>
            </w:tcMar>
            <w:vAlign w:val="center"/>
          </w:tcPr>
          <w:p>
            <w:pPr>
              <w:widowControl/>
              <w:autoSpaceDE/>
              <w:autoSpaceDN/>
              <w:ind w:firstLine="450"/>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0.50</w:t>
            </w:r>
          </w:p>
        </w:tc>
        <w:tc>
          <w:tcPr>
            <w:tcW w:w="2130" w:type="dxa"/>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无形资产净值</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9</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研发支出</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公共基础设施原值</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450"/>
              <w:rPr>
                <w:rFonts w:ascii="Times New Roman" w:hAnsi="Times New Roman" w:eastAsia="Times New Roman" w:cs="Times New Roman"/>
                <w:color w:val="000000"/>
                <w:sz w:val="24"/>
                <w:szCs w:val="24"/>
              </w:rPr>
            </w:pPr>
            <w:r>
              <w:rPr>
                <w:rFonts w:ascii="宋体" w:hAnsi="宋体" w:eastAsia="宋体" w:cs="宋体"/>
                <w:color w:val="000000"/>
                <w:sz w:val="24"/>
                <w:szCs w:val="24"/>
              </w:rPr>
              <w:t>减：公共基础设施累计折旧（摊销）</w:t>
            </w:r>
          </w:p>
        </w:tc>
        <w:tc>
          <w:tcPr>
            <w:tcW w:w="2130" w:type="dxa"/>
            <w:tcMar>
              <w:top w:w="20" w:type="dxa"/>
              <w:left w:w="20" w:type="dxa"/>
              <w:bottom w:w="20" w:type="dxa"/>
              <w:right w:w="20" w:type="dxa"/>
            </w:tcMar>
            <w:vAlign w:val="center"/>
          </w:tcPr>
          <w:p>
            <w:pPr>
              <w:widowControl/>
              <w:autoSpaceDE/>
              <w:autoSpaceDN/>
              <w:ind w:firstLine="450"/>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公共基础设施净值</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10</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政府储备物资</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11</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文物文化资产</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保障性住房原值</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bl>
    <w:p>
      <w:pPr>
        <w:widowControl/>
        <w:autoSpaceDE/>
        <w:autoSpaceDN/>
        <w:rPr>
          <w:rFonts w:ascii="Times New Roman" w:hAnsi="Times New Roman" w:eastAsia="Times New Roman" w:cs="Times New Roman"/>
          <w:sz w:val="33"/>
          <w:szCs w:val="24"/>
        </w:rPr>
      </w:pPr>
    </w:p>
    <w:tbl>
      <w:tblPr>
        <w:tblStyle w:val="19"/>
        <w:tblW w:w="5000" w:type="pct"/>
        <w:jc w:val="center"/>
        <w:tblLayout w:type="autofit"/>
        <w:tblCellMar>
          <w:top w:w="15" w:type="dxa"/>
          <w:left w:w="15" w:type="dxa"/>
          <w:bottom w:w="15" w:type="dxa"/>
          <w:right w:w="15" w:type="dxa"/>
        </w:tblCellMar>
      </w:tblPr>
      <w:tblGrid>
        <w:gridCol w:w="3631"/>
        <w:gridCol w:w="1827"/>
        <w:gridCol w:w="1829"/>
        <w:gridCol w:w="1829"/>
      </w:tblGrid>
      <w:tr>
        <w:tblPrEx>
          <w:tblCellMar>
            <w:top w:w="15" w:type="dxa"/>
            <w:left w:w="15" w:type="dxa"/>
            <w:bottom w:w="15" w:type="dxa"/>
            <w:right w:w="15" w:type="dxa"/>
          </w:tblCellMar>
        </w:tblPrEx>
        <w:trPr>
          <w:trHeight w:val="330" w:hRule="atLeast"/>
          <w:tblHeader/>
          <w:jc w:val="center"/>
        </w:trPr>
        <w:tc>
          <w:tcPr>
            <w:tcW w:w="5000" w:type="pct"/>
            <w:gridSpan w:val="4"/>
            <w:tcMar>
              <w:top w:w="20" w:type="dxa"/>
              <w:left w:w="20" w:type="dxa"/>
              <w:bottom w:w="2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宋体" w:hAnsi="宋体" w:eastAsia="宋体" w:cs="宋体"/>
                <w:color w:val="000000"/>
                <w:sz w:val="24"/>
                <w:szCs w:val="24"/>
              </w:rPr>
              <w:t>表</w:t>
            </w:r>
            <w:r>
              <w:rPr>
                <w:rFonts w:ascii="Times New Roman" w:hAnsi="Times New Roman" w:eastAsia="Times New Roman" w:cs="Times New Roman"/>
                <w:color w:val="000000"/>
                <w:sz w:val="24"/>
                <w:szCs w:val="24"/>
              </w:rPr>
              <w:t>1-</w:t>
            </w:r>
            <w:r>
              <w:rPr>
                <w:rFonts w:ascii="宋体" w:hAnsi="宋体" w:eastAsia="宋体" w:cs="宋体"/>
                <w:color w:val="000000"/>
                <w:sz w:val="24"/>
                <w:szCs w:val="24"/>
              </w:rPr>
              <w:t>续表</w:t>
            </w:r>
          </w:p>
        </w:tc>
      </w:tr>
      <w:tr>
        <w:tblPrEx>
          <w:tblCellMar>
            <w:top w:w="15" w:type="dxa"/>
            <w:left w:w="15" w:type="dxa"/>
            <w:bottom w:w="15" w:type="dxa"/>
            <w:right w:w="15" w:type="dxa"/>
          </w:tblCellMar>
        </w:tblPrEx>
        <w:trPr>
          <w:trHeight w:val="330" w:hRule="atLeast"/>
          <w:tblHeader/>
          <w:jc w:val="center"/>
        </w:trPr>
        <w:tc>
          <w:tcPr>
            <w:tcW w:w="0" w:type="auto"/>
            <w:gridSpan w:val="4"/>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color w:val="000000"/>
                <w:sz w:val="30"/>
                <w:szCs w:val="30"/>
              </w:rPr>
            </w:pPr>
            <w:r>
              <w:rPr>
                <w:rFonts w:ascii="宋体" w:hAnsi="宋体" w:eastAsia="宋体" w:cs="宋体"/>
                <w:b/>
                <w:bCs/>
                <w:color w:val="000000"/>
                <w:sz w:val="30"/>
                <w:szCs w:val="30"/>
              </w:rPr>
              <w:t>资产负债表</w:t>
            </w:r>
          </w:p>
        </w:tc>
      </w:tr>
      <w:tr>
        <w:tblPrEx>
          <w:tblCellMar>
            <w:top w:w="15" w:type="dxa"/>
            <w:left w:w="15" w:type="dxa"/>
            <w:bottom w:w="15" w:type="dxa"/>
            <w:right w:w="15" w:type="dxa"/>
          </w:tblCellMar>
        </w:tblPrEx>
        <w:trPr>
          <w:trHeight w:val="330" w:hRule="atLeast"/>
          <w:tblHeader/>
          <w:jc w:val="center"/>
        </w:trPr>
        <w:tc>
          <w:tcPr>
            <w:tcW w:w="2130" w:type="dxa"/>
            <w:gridSpan w:val="2"/>
            <w:tcBorders>
              <w:bottom w:val="single" w:color="000000" w:sz="12" w:space="0"/>
            </w:tcBorders>
            <w:tcMar>
              <w:top w:w="20" w:type="dxa"/>
              <w:left w:w="20" w:type="dxa"/>
              <w:bottom w:w="3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宋体" w:hAnsi="宋体" w:eastAsia="宋体" w:cs="宋体"/>
                <w:color w:val="000000"/>
                <w:sz w:val="24"/>
                <w:szCs w:val="24"/>
              </w:rPr>
              <w:t>编制单位</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霍林郭勒市医疗保障局（部门）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2023</w:t>
            </w:r>
            <w:r>
              <w:rPr>
                <w:rFonts w:ascii="宋体" w:hAnsi="宋体" w:eastAsia="宋体" w:cs="宋体"/>
                <w:color w:val="000000"/>
                <w:sz w:val="18"/>
                <w:szCs w:val="18"/>
              </w:rPr>
              <w:t>年</w:t>
            </w:r>
            <w:r>
              <w:rPr>
                <w:rFonts w:ascii="Times New Roman" w:hAnsi="Times New Roman" w:eastAsia="Times New Roman" w:cs="Times New Roman"/>
                <w:color w:val="000000"/>
                <w:sz w:val="18"/>
                <w:szCs w:val="18"/>
              </w:rPr>
              <w:t>12</w:t>
            </w:r>
            <w:r>
              <w:rPr>
                <w:rFonts w:ascii="宋体" w:hAnsi="宋体" w:eastAsia="宋体" w:cs="宋体"/>
                <w:color w:val="000000"/>
                <w:sz w:val="18"/>
                <w:szCs w:val="18"/>
              </w:rPr>
              <w:t>月</w:t>
            </w:r>
            <w:r>
              <w:rPr>
                <w:rFonts w:ascii="Times New Roman" w:hAnsi="Times New Roman" w:eastAsia="Times New Roman" w:cs="Times New Roman"/>
                <w:color w:val="000000"/>
                <w:sz w:val="18"/>
                <w:szCs w:val="18"/>
              </w:rPr>
              <w:t>31</w:t>
            </w:r>
            <w:r>
              <w:rPr>
                <w:rFonts w:ascii="宋体" w:hAnsi="宋体" w:eastAsia="宋体" w:cs="宋体"/>
                <w:color w:val="000000"/>
                <w:sz w:val="18"/>
                <w:szCs w:val="18"/>
              </w:rPr>
              <w:t>日</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项目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附</w:t>
            </w:r>
            <w:r>
              <w:rPr>
                <w:rFonts w:ascii="Times New Roman" w:hAnsi="Times New Roman" w:eastAsia="Times New Roman" w:cs="Times New Roman"/>
                <w:b/>
                <w:bCs/>
                <w:color w:val="000000"/>
                <w:sz w:val="24"/>
                <w:szCs w:val="24"/>
              </w:rPr>
              <w:t xml:space="preserve"> </w:t>
            </w:r>
            <w:r>
              <w:rPr>
                <w:rFonts w:ascii="宋体" w:hAnsi="宋体" w:eastAsia="宋体" w:cs="宋体"/>
                <w:b/>
                <w:bCs/>
                <w:color w:val="000000"/>
                <w:sz w:val="24"/>
                <w:szCs w:val="24"/>
              </w:rPr>
              <w:t>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年末数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年初数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450"/>
              <w:rPr>
                <w:rFonts w:ascii="Times New Roman" w:hAnsi="Times New Roman" w:eastAsia="Times New Roman" w:cs="Times New Roman"/>
                <w:color w:val="000000"/>
                <w:sz w:val="24"/>
                <w:szCs w:val="24"/>
              </w:rPr>
            </w:pPr>
            <w:r>
              <w:rPr>
                <w:rFonts w:ascii="宋体" w:hAnsi="宋体" w:eastAsia="宋体" w:cs="宋体"/>
                <w:color w:val="000000"/>
                <w:sz w:val="24"/>
                <w:szCs w:val="24"/>
              </w:rPr>
              <w:t>减：保障性住房累计折旧</w:t>
            </w:r>
          </w:p>
        </w:tc>
        <w:tc>
          <w:tcPr>
            <w:tcW w:w="2130" w:type="dxa"/>
            <w:tcMar>
              <w:top w:w="20" w:type="dxa"/>
              <w:left w:w="20" w:type="dxa"/>
              <w:bottom w:w="20" w:type="dxa"/>
              <w:right w:w="20" w:type="dxa"/>
            </w:tcMar>
            <w:vAlign w:val="center"/>
          </w:tcPr>
          <w:p>
            <w:pPr>
              <w:widowControl/>
              <w:autoSpaceDE/>
              <w:autoSpaceDN/>
              <w:ind w:firstLine="450"/>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保障性住房净值</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12</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长期待摊费用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待处理财产损溢</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其他非流动资产</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非流动资产合计</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46.65</w:t>
            </w: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39.17</w:t>
            </w: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受托代理资产</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资产总计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47.13</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48.95</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流动负债：</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短期借款</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应交增值税</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其他应交税费</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0.08</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0.12</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应缴财政款</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应付职工薪酬</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0.13</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9.27</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应付票据</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13</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应付账款</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14</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应付政府补贴款</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应付利息</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预收账款</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15</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其他应付款</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16</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0.03</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预提费用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一年内到期的非流动负债</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其他流动负债</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流动负债合计</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0.24</w:t>
            </w: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非流动负债：</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长期借款</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17</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长期应付款</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18</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预计负债</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其他非流动负债</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非流动负债合计</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受托代理负债</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负债合计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0.24</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净资产：</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累计盈余</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46.89</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39.35</w:t>
            </w: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专用基金</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bl>
    <w:p>
      <w:pPr>
        <w:widowControl/>
        <w:autoSpaceDE/>
        <w:autoSpaceDN/>
        <w:rPr>
          <w:rFonts w:ascii="Times New Roman" w:hAnsi="Times New Roman" w:eastAsia="Times New Roman" w:cs="Times New Roman"/>
          <w:sz w:val="33"/>
          <w:szCs w:val="24"/>
        </w:rPr>
      </w:pPr>
    </w:p>
    <w:tbl>
      <w:tblPr>
        <w:tblStyle w:val="19"/>
        <w:tblW w:w="5000" w:type="pct"/>
        <w:jc w:val="center"/>
        <w:tblLayout w:type="autofit"/>
        <w:tblCellMar>
          <w:top w:w="15" w:type="dxa"/>
          <w:left w:w="15" w:type="dxa"/>
          <w:bottom w:w="15" w:type="dxa"/>
          <w:right w:w="15" w:type="dxa"/>
        </w:tblCellMar>
      </w:tblPr>
      <w:tblGrid>
        <w:gridCol w:w="3631"/>
        <w:gridCol w:w="1827"/>
        <w:gridCol w:w="1829"/>
        <w:gridCol w:w="1829"/>
      </w:tblGrid>
      <w:tr>
        <w:tblPrEx>
          <w:tblCellMar>
            <w:top w:w="15" w:type="dxa"/>
            <w:left w:w="15" w:type="dxa"/>
            <w:bottom w:w="15" w:type="dxa"/>
            <w:right w:w="15" w:type="dxa"/>
          </w:tblCellMar>
        </w:tblPrEx>
        <w:trPr>
          <w:trHeight w:val="330" w:hRule="atLeast"/>
          <w:tblHeader/>
          <w:jc w:val="center"/>
        </w:trPr>
        <w:tc>
          <w:tcPr>
            <w:tcW w:w="5000" w:type="pct"/>
            <w:gridSpan w:val="4"/>
            <w:tcMar>
              <w:top w:w="20" w:type="dxa"/>
              <w:left w:w="20" w:type="dxa"/>
              <w:bottom w:w="2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宋体" w:hAnsi="宋体" w:eastAsia="宋体" w:cs="宋体"/>
                <w:color w:val="000000"/>
                <w:sz w:val="24"/>
                <w:szCs w:val="24"/>
              </w:rPr>
              <w:t>表</w:t>
            </w:r>
            <w:r>
              <w:rPr>
                <w:rFonts w:ascii="Times New Roman" w:hAnsi="Times New Roman" w:eastAsia="Times New Roman" w:cs="Times New Roman"/>
                <w:color w:val="000000"/>
                <w:sz w:val="24"/>
                <w:szCs w:val="24"/>
              </w:rPr>
              <w:t>1-</w:t>
            </w:r>
            <w:r>
              <w:rPr>
                <w:rFonts w:ascii="宋体" w:hAnsi="宋体" w:eastAsia="宋体" w:cs="宋体"/>
                <w:color w:val="000000"/>
                <w:sz w:val="24"/>
                <w:szCs w:val="24"/>
              </w:rPr>
              <w:t>续表</w:t>
            </w:r>
          </w:p>
        </w:tc>
      </w:tr>
      <w:tr>
        <w:tblPrEx>
          <w:tblCellMar>
            <w:top w:w="15" w:type="dxa"/>
            <w:left w:w="15" w:type="dxa"/>
            <w:bottom w:w="15" w:type="dxa"/>
            <w:right w:w="15" w:type="dxa"/>
          </w:tblCellMar>
        </w:tblPrEx>
        <w:trPr>
          <w:trHeight w:val="330" w:hRule="atLeast"/>
          <w:tblHeader/>
          <w:jc w:val="center"/>
        </w:trPr>
        <w:tc>
          <w:tcPr>
            <w:tcW w:w="0" w:type="auto"/>
            <w:gridSpan w:val="4"/>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color w:val="000000"/>
                <w:sz w:val="30"/>
                <w:szCs w:val="30"/>
              </w:rPr>
            </w:pPr>
            <w:r>
              <w:rPr>
                <w:rFonts w:ascii="宋体" w:hAnsi="宋体" w:eastAsia="宋体" w:cs="宋体"/>
                <w:b/>
                <w:bCs/>
                <w:color w:val="000000"/>
                <w:sz w:val="30"/>
                <w:szCs w:val="30"/>
              </w:rPr>
              <w:t>资产负债表</w:t>
            </w:r>
          </w:p>
        </w:tc>
      </w:tr>
      <w:tr>
        <w:tblPrEx>
          <w:tblCellMar>
            <w:top w:w="15" w:type="dxa"/>
            <w:left w:w="15" w:type="dxa"/>
            <w:bottom w:w="15" w:type="dxa"/>
            <w:right w:w="15" w:type="dxa"/>
          </w:tblCellMar>
        </w:tblPrEx>
        <w:trPr>
          <w:trHeight w:val="330" w:hRule="atLeast"/>
          <w:tblHeader/>
          <w:jc w:val="center"/>
        </w:trPr>
        <w:tc>
          <w:tcPr>
            <w:tcW w:w="2130" w:type="dxa"/>
            <w:gridSpan w:val="2"/>
            <w:tcBorders>
              <w:bottom w:val="single" w:color="000000" w:sz="12" w:space="0"/>
            </w:tcBorders>
            <w:tcMar>
              <w:top w:w="20" w:type="dxa"/>
              <w:left w:w="20" w:type="dxa"/>
              <w:bottom w:w="3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宋体" w:hAnsi="宋体" w:eastAsia="宋体" w:cs="宋体"/>
                <w:color w:val="000000"/>
                <w:sz w:val="24"/>
                <w:szCs w:val="24"/>
              </w:rPr>
              <w:t>编制单位</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霍林郭勒市医疗保障局（部门）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2023</w:t>
            </w:r>
            <w:r>
              <w:rPr>
                <w:rFonts w:ascii="宋体" w:hAnsi="宋体" w:eastAsia="宋体" w:cs="宋体"/>
                <w:color w:val="000000"/>
                <w:sz w:val="18"/>
                <w:szCs w:val="18"/>
              </w:rPr>
              <w:t>年</w:t>
            </w:r>
            <w:r>
              <w:rPr>
                <w:rFonts w:ascii="Times New Roman" w:hAnsi="Times New Roman" w:eastAsia="Times New Roman" w:cs="Times New Roman"/>
                <w:color w:val="000000"/>
                <w:sz w:val="18"/>
                <w:szCs w:val="18"/>
              </w:rPr>
              <w:t>12</w:t>
            </w:r>
            <w:r>
              <w:rPr>
                <w:rFonts w:ascii="宋体" w:hAnsi="宋体" w:eastAsia="宋体" w:cs="宋体"/>
                <w:color w:val="000000"/>
                <w:sz w:val="18"/>
                <w:szCs w:val="18"/>
              </w:rPr>
              <w:t>月</w:t>
            </w:r>
            <w:r>
              <w:rPr>
                <w:rFonts w:ascii="Times New Roman" w:hAnsi="Times New Roman" w:eastAsia="Times New Roman" w:cs="Times New Roman"/>
                <w:color w:val="000000"/>
                <w:sz w:val="18"/>
                <w:szCs w:val="18"/>
              </w:rPr>
              <w:t>31</w:t>
            </w:r>
            <w:r>
              <w:rPr>
                <w:rFonts w:ascii="宋体" w:hAnsi="宋体" w:eastAsia="宋体" w:cs="宋体"/>
                <w:color w:val="000000"/>
                <w:sz w:val="18"/>
                <w:szCs w:val="18"/>
              </w:rPr>
              <w:t>日</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项目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附</w:t>
            </w:r>
            <w:r>
              <w:rPr>
                <w:rFonts w:ascii="Times New Roman" w:hAnsi="Times New Roman" w:eastAsia="Times New Roman" w:cs="Times New Roman"/>
                <w:b/>
                <w:bCs/>
                <w:color w:val="000000"/>
                <w:sz w:val="24"/>
                <w:szCs w:val="24"/>
              </w:rPr>
              <w:t xml:space="preserve"> </w:t>
            </w:r>
            <w:r>
              <w:rPr>
                <w:rFonts w:ascii="宋体" w:hAnsi="宋体" w:eastAsia="宋体" w:cs="宋体"/>
                <w:b/>
                <w:bCs/>
                <w:color w:val="000000"/>
                <w:sz w:val="24"/>
                <w:szCs w:val="24"/>
              </w:rPr>
              <w:t>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年末数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年初数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权益法调整</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tcBorders>
            <w:tcMar>
              <w:top w:w="30" w:type="dxa"/>
              <w:left w:w="20" w:type="dxa"/>
              <w:bottom w:w="2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净资产合计</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46.89</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39.35</w:t>
            </w: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负债及净资产总计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47.13</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48.95</w:t>
            </w:r>
          </w:p>
        </w:tc>
      </w:tr>
    </w:tbl>
    <w:p>
      <w:pPr>
        <w:rPr>
          <w:rFonts w:ascii="宋体" w:hAnsi="宋体" w:eastAsia="宋体" w:cs="宋体"/>
          <w:sz w:val="28"/>
          <w:szCs w:val="28"/>
        </w:rPr>
        <w:sectPr>
          <w:pgSz w:w="11910" w:h="16840"/>
          <w:pgMar w:top="1984" w:right="1417" w:bottom="1701" w:left="1417" w:header="0" w:footer="921" w:gutter="0"/>
          <w:cols w:space="720" w:num="1"/>
        </w:sectPr>
      </w:pPr>
      <w:bookmarkStart w:id="21" w:name="a004"/>
      <w:bookmarkEnd w:id="21"/>
    </w:p>
    <w:p>
      <w:pPr>
        <w:spacing w:line="376" w:lineRule="exact"/>
        <w:rPr>
          <w:rFonts w:ascii="宋体" w:hAnsi="宋体" w:eastAsia="宋体" w:cs="宋体"/>
          <w:sz w:val="30"/>
          <w:szCs w:val="30"/>
        </w:rPr>
      </w:pPr>
      <w:r>
        <w:rPr>
          <w:rFonts w:hint="eastAsia" w:ascii="宋体" w:hAnsi="宋体" w:eastAsia="宋体"/>
          <w:sz w:val="30"/>
          <w:szCs w:val="30"/>
        </w:rPr>
        <w:t xml:space="preserve">表 </w:t>
      </w:r>
      <w:r>
        <w:rPr>
          <w:rFonts w:ascii="宋体" w:hAnsi="宋体" w:eastAsia="宋体"/>
          <w:sz w:val="30"/>
          <w:szCs w:val="30"/>
        </w:rPr>
        <w:t>2-1</w:t>
      </w:r>
    </w:p>
    <w:p>
      <w:pPr>
        <w:pStyle w:val="4"/>
        <w:spacing w:before="0" w:after="0" w:line="240" w:lineRule="auto"/>
        <w:jc w:val="center"/>
        <w:rPr>
          <w:rFonts w:ascii="宋体" w:hAnsi="宋体" w:eastAsia="宋体" w:cs="宋体"/>
        </w:rPr>
      </w:pPr>
      <w:bookmarkStart w:id="22" w:name="_Toc256000026"/>
      <w:bookmarkStart w:id="23" w:name="_Toc1798661537"/>
      <w:bookmarkStart w:id="24" w:name="_Toc24667"/>
      <w:bookmarkStart w:id="25" w:name="_Toc12793"/>
      <w:bookmarkStart w:id="26" w:name="_Toc256000004"/>
      <w:r>
        <w:rPr>
          <w:rFonts w:hint="eastAsia" w:ascii="宋体" w:hAnsi="宋体" w:eastAsia="宋体" w:cs="宋体"/>
        </w:rPr>
        <w:t>收入费用表(</w:t>
      </w:r>
      <w:r>
        <w:rPr>
          <w:rFonts w:ascii="宋体" w:hAnsi="宋体" w:eastAsia="宋体" w:cs="宋体"/>
        </w:rPr>
        <w:t>1)</w:t>
      </w:r>
      <w:bookmarkEnd w:id="22"/>
      <w:bookmarkEnd w:id="23"/>
      <w:bookmarkEnd w:id="24"/>
      <w:bookmarkEnd w:id="25"/>
      <w:bookmarkEnd w:id="26"/>
    </w:p>
    <w:tbl>
      <w:tblPr>
        <w:tblStyle w:val="19"/>
        <w:tblW w:w="5000" w:type="pct"/>
        <w:jc w:val="center"/>
        <w:tblLayout w:type="autofit"/>
        <w:tblCellMar>
          <w:top w:w="15" w:type="dxa"/>
          <w:left w:w="15" w:type="dxa"/>
          <w:bottom w:w="15" w:type="dxa"/>
          <w:right w:w="15" w:type="dxa"/>
        </w:tblCellMar>
      </w:tblPr>
      <w:tblGrid>
        <w:gridCol w:w="3472"/>
        <w:gridCol w:w="1800"/>
        <w:gridCol w:w="1922"/>
        <w:gridCol w:w="1922"/>
      </w:tblGrid>
      <w:tr>
        <w:tblPrEx>
          <w:tblCellMar>
            <w:top w:w="15" w:type="dxa"/>
            <w:left w:w="15" w:type="dxa"/>
            <w:bottom w:w="15" w:type="dxa"/>
            <w:right w:w="15" w:type="dxa"/>
          </w:tblCellMar>
        </w:tblPrEx>
        <w:trPr>
          <w:trHeight w:val="330" w:hRule="atLeast"/>
          <w:tblHeader/>
          <w:jc w:val="center"/>
        </w:trPr>
        <w:tc>
          <w:tcPr>
            <w:tcW w:w="2130" w:type="dxa"/>
            <w:gridSpan w:val="2"/>
            <w:tcBorders>
              <w:bottom w:val="single" w:color="000000" w:sz="12" w:space="0"/>
            </w:tcBorders>
            <w:tcMar>
              <w:top w:w="20" w:type="dxa"/>
              <w:left w:w="20" w:type="dxa"/>
              <w:bottom w:w="3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宋体" w:hAnsi="宋体" w:eastAsia="宋体" w:cs="宋体"/>
                <w:color w:val="000000"/>
                <w:sz w:val="24"/>
                <w:szCs w:val="24"/>
              </w:rPr>
              <w:t>编制单位</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霍林郭勒市医疗保障局（部门）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r>
              <w:rPr>
                <w:rFonts w:ascii="宋体" w:hAnsi="宋体" w:eastAsia="宋体" w:cs="宋体"/>
                <w:color w:val="000000"/>
                <w:sz w:val="24"/>
                <w:szCs w:val="24"/>
              </w:rPr>
              <w:t>年</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项</w:t>
            </w:r>
            <w:r>
              <w:rPr>
                <w:rFonts w:ascii="Times New Roman" w:hAnsi="Times New Roman" w:eastAsia="Times New Roman" w:cs="Times New Roman"/>
                <w:b/>
                <w:bCs/>
                <w:color w:val="000000"/>
                <w:sz w:val="24"/>
                <w:szCs w:val="24"/>
              </w:rPr>
              <w:t xml:space="preserve"> </w:t>
            </w:r>
            <w:r>
              <w:rPr>
                <w:rFonts w:ascii="宋体" w:hAnsi="宋体" w:eastAsia="宋体" w:cs="宋体"/>
                <w:b/>
                <w:bCs/>
                <w:color w:val="000000"/>
                <w:sz w:val="24"/>
                <w:szCs w:val="24"/>
              </w:rPr>
              <w:t>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附</w:t>
            </w:r>
            <w:r>
              <w:rPr>
                <w:rFonts w:ascii="Times New Roman" w:hAnsi="Times New Roman" w:eastAsia="Times New Roman" w:cs="Times New Roman"/>
                <w:b/>
                <w:bCs/>
                <w:color w:val="000000"/>
                <w:sz w:val="24"/>
                <w:szCs w:val="24"/>
              </w:rPr>
              <w:t xml:space="preserve"> </w:t>
            </w:r>
            <w:r>
              <w:rPr>
                <w:rFonts w:ascii="宋体" w:hAnsi="宋体" w:eastAsia="宋体" w:cs="宋体"/>
                <w:b/>
                <w:bCs/>
                <w:color w:val="000000"/>
                <w:sz w:val="24"/>
                <w:szCs w:val="24"/>
              </w:rPr>
              <w:t>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本年数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上年数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财政拨款收入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2,419.91</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3,325.31</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事业收入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19</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上级补助收入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附属单位上缴收入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经营收入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20</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非同级财政拨款收入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21</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投资收益</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6</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捐赠收入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利息收入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租金收入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22</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23</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收入合计</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2,419.94</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3,325.34</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业务活动费用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24</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1,904.32</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3,284.67</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单位管理费用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25</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508.08</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43.19</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经营费用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26</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资产处置费用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上缴上级费用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对附属单位补助费用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所得税费用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费用合计</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2,412.40</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3,327.86</w:t>
            </w: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本年盈余</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7.54</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-2.52</w:t>
            </w:r>
          </w:p>
        </w:tc>
      </w:tr>
    </w:tbl>
    <w:p>
      <w:pPr>
        <w:rPr>
          <w:rFonts w:hint="eastAsia" w:eastAsiaTheme="minorEastAsia"/>
        </w:rPr>
      </w:pPr>
      <w:bookmarkStart w:id="27" w:name="a005"/>
      <w:bookmarkEnd w:id="27"/>
    </w:p>
    <w:p>
      <w:pPr>
        <w:pStyle w:val="3"/>
        <w:pageBreakBefore/>
        <w:numPr>
          <w:ilvl w:val="0"/>
          <w:numId w:val="1"/>
        </w:numPr>
        <w:spacing w:before="240" w:beforeLines="100" w:after="0" w:line="360" w:lineRule="auto"/>
        <w:ind w:left="0" w:firstLine="0"/>
        <w:rPr>
          <w:rFonts w:ascii="宋体" w:hAnsi="宋体" w:eastAsia="宋体"/>
          <w:sz w:val="24"/>
          <w:szCs w:val="24"/>
        </w:rPr>
        <w:sectPr>
          <w:pgSz w:w="11910" w:h="16840"/>
          <w:pgMar w:top="1984" w:right="1417" w:bottom="1701" w:left="1417" w:header="0" w:footer="921" w:gutter="0"/>
          <w:cols w:space="720" w:num="1"/>
        </w:sectPr>
      </w:pPr>
    </w:p>
    <w:p>
      <w:pPr>
        <w:spacing w:line="376" w:lineRule="exact"/>
        <w:rPr>
          <w:rFonts w:ascii="宋体" w:hAnsi="宋体" w:eastAsia="宋体" w:cs="宋体"/>
          <w:sz w:val="30"/>
          <w:szCs w:val="30"/>
        </w:rPr>
      </w:pPr>
      <w:r>
        <w:rPr>
          <w:rFonts w:hint="eastAsia" w:ascii="宋体" w:hAnsi="宋体" w:eastAsia="宋体"/>
          <w:sz w:val="30"/>
          <w:szCs w:val="30"/>
        </w:rPr>
        <w:t xml:space="preserve">表 </w:t>
      </w:r>
      <w:r>
        <w:rPr>
          <w:rFonts w:ascii="宋体" w:hAnsi="宋体" w:eastAsia="宋体"/>
          <w:sz w:val="30"/>
          <w:szCs w:val="30"/>
        </w:rPr>
        <w:t>2-2</w:t>
      </w:r>
    </w:p>
    <w:p>
      <w:pPr>
        <w:pStyle w:val="4"/>
        <w:spacing w:before="0" w:after="0" w:line="240" w:lineRule="auto"/>
        <w:jc w:val="center"/>
        <w:rPr>
          <w:rFonts w:ascii="宋体" w:hAnsi="宋体" w:eastAsia="宋体"/>
        </w:rPr>
      </w:pPr>
      <w:bookmarkStart w:id="28" w:name="_Toc256000027"/>
      <w:bookmarkStart w:id="29" w:name="_Toc2928"/>
      <w:bookmarkStart w:id="30" w:name="_Toc256000005"/>
      <w:bookmarkStart w:id="31" w:name="_Toc419119593"/>
      <w:bookmarkStart w:id="32" w:name="_Toc32429"/>
      <w:r>
        <w:rPr>
          <w:rFonts w:hint="eastAsia" w:ascii="宋体" w:hAnsi="宋体" w:eastAsia="宋体" w:cs="宋体"/>
        </w:rPr>
        <w:t>收入费用表(</w:t>
      </w:r>
      <w:r>
        <w:rPr>
          <w:rFonts w:ascii="宋体" w:hAnsi="宋体" w:eastAsia="宋体" w:cs="宋体"/>
        </w:rPr>
        <w:t>2)</w:t>
      </w:r>
      <w:bookmarkEnd w:id="28"/>
      <w:bookmarkEnd w:id="29"/>
      <w:bookmarkEnd w:id="30"/>
      <w:bookmarkEnd w:id="31"/>
      <w:bookmarkEnd w:id="32"/>
    </w:p>
    <w:tbl>
      <w:tblPr>
        <w:tblStyle w:val="19"/>
        <w:tblW w:w="5000" w:type="pct"/>
        <w:jc w:val="center"/>
        <w:tblLayout w:type="autofit"/>
        <w:tblCellMar>
          <w:top w:w="15" w:type="dxa"/>
          <w:left w:w="15" w:type="dxa"/>
          <w:bottom w:w="15" w:type="dxa"/>
          <w:right w:w="15" w:type="dxa"/>
        </w:tblCellMar>
      </w:tblPr>
      <w:tblGrid>
        <w:gridCol w:w="3474"/>
        <w:gridCol w:w="1799"/>
        <w:gridCol w:w="1921"/>
        <w:gridCol w:w="1922"/>
      </w:tblGrid>
      <w:tr>
        <w:tblPrEx>
          <w:tblCellMar>
            <w:top w:w="15" w:type="dxa"/>
            <w:left w:w="15" w:type="dxa"/>
            <w:bottom w:w="15" w:type="dxa"/>
            <w:right w:w="15" w:type="dxa"/>
          </w:tblCellMar>
        </w:tblPrEx>
        <w:trPr>
          <w:trHeight w:val="330" w:hRule="atLeast"/>
          <w:tblHeader/>
          <w:jc w:val="center"/>
        </w:trPr>
        <w:tc>
          <w:tcPr>
            <w:tcW w:w="2130" w:type="dxa"/>
            <w:gridSpan w:val="2"/>
            <w:tcBorders>
              <w:bottom w:val="single" w:color="000000" w:sz="12" w:space="0"/>
            </w:tcBorders>
            <w:tcMar>
              <w:top w:w="20" w:type="dxa"/>
              <w:left w:w="20" w:type="dxa"/>
              <w:bottom w:w="3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宋体" w:hAnsi="宋体" w:eastAsia="宋体" w:cs="宋体"/>
                <w:color w:val="000000"/>
                <w:sz w:val="24"/>
                <w:szCs w:val="24"/>
              </w:rPr>
              <w:t>编制单位</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霍林郭勒市医疗保障局（部门）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r>
              <w:rPr>
                <w:rFonts w:ascii="宋体" w:hAnsi="宋体" w:eastAsia="宋体" w:cs="宋体"/>
                <w:color w:val="000000"/>
                <w:sz w:val="24"/>
                <w:szCs w:val="24"/>
              </w:rPr>
              <w:t>年</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项</w:t>
            </w:r>
            <w:r>
              <w:rPr>
                <w:rFonts w:ascii="Times New Roman" w:hAnsi="Times New Roman" w:eastAsia="Times New Roman" w:cs="Times New Roman"/>
                <w:b/>
                <w:bCs/>
                <w:color w:val="000000"/>
                <w:sz w:val="24"/>
                <w:szCs w:val="24"/>
              </w:rPr>
              <w:t xml:space="preserve"> </w:t>
            </w:r>
            <w:r>
              <w:rPr>
                <w:rFonts w:ascii="宋体" w:hAnsi="宋体" w:eastAsia="宋体" w:cs="宋体"/>
                <w:b/>
                <w:bCs/>
                <w:color w:val="000000"/>
                <w:sz w:val="24"/>
                <w:szCs w:val="24"/>
              </w:rPr>
              <w:t>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附</w:t>
            </w:r>
            <w:r>
              <w:rPr>
                <w:rFonts w:ascii="Times New Roman" w:hAnsi="Times New Roman" w:eastAsia="Times New Roman" w:cs="Times New Roman"/>
                <w:b/>
                <w:bCs/>
                <w:color w:val="000000"/>
                <w:sz w:val="24"/>
                <w:szCs w:val="24"/>
              </w:rPr>
              <w:t xml:space="preserve"> </w:t>
            </w:r>
            <w:r>
              <w:rPr>
                <w:rFonts w:ascii="宋体" w:hAnsi="宋体" w:eastAsia="宋体" w:cs="宋体"/>
                <w:b/>
                <w:bCs/>
                <w:color w:val="000000"/>
                <w:sz w:val="24"/>
                <w:szCs w:val="24"/>
              </w:rPr>
              <w:t>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本年数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上年数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财政拨款收入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2,419.91</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3,325.31</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事业收入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19</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上级补助收入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附属单位上缴收入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经营收入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20</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非同级财政拨款收入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21</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投资收益</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6</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捐赠收入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利息收入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租金收入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22</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其他收入</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23</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收入合计</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2,419.94</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3,325.34</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工资福利费用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443.13</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499.09</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商品和服务费用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27</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76.36</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46.12</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对个人和家庭的补助费用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1,883.90</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2,774.87</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对企业补助费用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固定资产折旧费用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9.02</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7.78</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无形资产摊销费用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公共基础设施折旧（摊销）费用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保障性住房折旧费用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计提专用基金</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资产处置费用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上缴上级费用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对附属单位补助费用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所得税费用</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其他费用</w:t>
            </w:r>
            <w:r>
              <w:rPr>
                <w:rFonts w:ascii="Times New Roman" w:hAnsi="Times New Roman" w:eastAsia="Times New Roman" w:cs="Times New Roman"/>
                <w:color w:val="000000"/>
                <w:sz w:val="24"/>
                <w:szCs w:val="24"/>
              </w:rPr>
              <w:t>¹</w:t>
            </w:r>
          </w:p>
        </w:tc>
        <w:tc>
          <w:tcPr>
            <w:tcW w:w="2130" w:type="dxa"/>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r>
              <w:rPr>
                <w:rFonts w:ascii="宋体" w:hAnsi="宋体" w:eastAsia="宋体" w:cs="宋体"/>
                <w:color w:val="000000"/>
                <w:sz w:val="24"/>
                <w:szCs w:val="24"/>
              </w:rPr>
              <w:t>附表</w:t>
            </w:r>
            <w:r>
              <w:rPr>
                <w:rFonts w:ascii="Times New Roman" w:hAnsi="Times New Roman" w:eastAsia="Times New Roman" w:cs="Times New Roman"/>
                <w:color w:val="000000"/>
                <w:sz w:val="24"/>
                <w:szCs w:val="24"/>
              </w:rPr>
              <w:t xml:space="preserve"> 28</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费用合计</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2,412.40</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3,327.86</w:t>
            </w: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本年盈余</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7.54</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-2.52</w:t>
            </w:r>
          </w:p>
        </w:tc>
      </w:tr>
      <w:tr>
        <w:tblPrEx>
          <w:tblCellMar>
            <w:top w:w="15" w:type="dxa"/>
            <w:left w:w="15" w:type="dxa"/>
            <w:bottom w:w="15" w:type="dxa"/>
            <w:right w:w="15" w:type="dxa"/>
          </w:tblCellMar>
        </w:tblPrEx>
        <w:trPr>
          <w:jc w:val="center"/>
        </w:trPr>
        <w:tc>
          <w:tcPr>
            <w:tcW w:w="4230" w:type="dxa"/>
            <w:gridSpan w:val="4"/>
            <w:tcBorders>
              <w:top w:val="single" w:color="000000" w:sz="12" w:space="0"/>
            </w:tcBorders>
            <w:tcMar>
              <w:top w:w="30" w:type="dxa"/>
              <w:left w:w="20" w:type="dxa"/>
              <w:bottom w:w="2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¹</w:t>
            </w:r>
            <w:r>
              <w:rPr>
                <w:rFonts w:ascii="宋体" w:hAnsi="宋体" w:eastAsia="宋体" w:cs="宋体"/>
                <w:color w:val="000000"/>
                <w:sz w:val="24"/>
                <w:szCs w:val="24"/>
              </w:rPr>
              <w:t>表</w:t>
            </w:r>
            <w:r>
              <w:rPr>
                <w:rFonts w:ascii="Times New Roman" w:hAnsi="Times New Roman" w:eastAsia="Times New Roman" w:cs="Times New Roman"/>
                <w:color w:val="000000"/>
                <w:sz w:val="24"/>
                <w:szCs w:val="24"/>
              </w:rPr>
              <w:t>2-2</w:t>
            </w:r>
            <w:r>
              <w:rPr>
                <w:rFonts w:ascii="宋体" w:hAnsi="宋体" w:eastAsia="宋体" w:cs="宋体"/>
                <w:color w:val="000000"/>
                <w:sz w:val="24"/>
                <w:szCs w:val="24"/>
              </w:rPr>
              <w:t>的</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其他费用</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包括</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业务活动费用</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单位管理费用</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经营费用</w:t>
            </w:r>
            <w:r>
              <w:rPr>
                <w:rFonts w:ascii="Times New Roman" w:hAnsi="Times New Roman" w:eastAsia="Times New Roman" w:cs="Times New Roman"/>
                <w:color w:val="000000"/>
                <w:sz w:val="24"/>
                <w:szCs w:val="24"/>
              </w:rPr>
              <w:t>”</w:t>
            </w:r>
            <w:r>
              <w:rPr>
                <w:rFonts w:ascii="宋体" w:hAnsi="宋体" w:eastAsia="宋体" w:cs="宋体"/>
                <w:color w:val="000000"/>
                <w:sz w:val="24"/>
                <w:szCs w:val="24"/>
              </w:rPr>
              <w:t>等会计科目中的其他部分。</w:t>
            </w:r>
          </w:p>
        </w:tc>
      </w:tr>
    </w:tbl>
    <w:p>
      <w:pPr>
        <w:pStyle w:val="3"/>
        <w:spacing w:before="0" w:after="0" w:line="240" w:lineRule="auto"/>
        <w:sectPr>
          <w:pgSz w:w="11910" w:h="16840"/>
          <w:pgMar w:top="1984" w:right="1417" w:bottom="1701" w:left="1417" w:header="0" w:footer="921" w:gutter="0"/>
          <w:cols w:space="720" w:num="1"/>
        </w:sectPr>
      </w:pPr>
      <w:bookmarkStart w:id="33" w:name="a006"/>
      <w:bookmarkEnd w:id="33"/>
      <w:r>
        <w:br w:type="page"/>
      </w:r>
    </w:p>
    <w:p>
      <w:pPr>
        <w:pStyle w:val="3"/>
        <w:keepNext/>
        <w:keepLines/>
        <w:pageBreakBefore w:val="0"/>
        <w:widowControl w:val="0"/>
        <w:kinsoku/>
        <w:wordWrap/>
        <w:overflowPunct/>
        <w:topLinePunct w:val="0"/>
        <w:autoSpaceDE w:val="0"/>
        <w:autoSpaceDN w:val="0"/>
        <w:bidi w:val="0"/>
        <w:adjustRightInd/>
        <w:snapToGrid/>
        <w:spacing w:before="0" w:beforeLines="50" w:after="0" w:afterLines="50" w:line="240" w:lineRule="auto"/>
        <w:ind w:right="0" w:rightChars="0" w:firstLine="562" w:firstLineChars="200"/>
        <w:jc w:val="both"/>
        <w:textAlignment w:val="auto"/>
        <w:rPr>
          <w:rFonts w:ascii="Times New Roman" w:hAnsi="Times New Roman" w:eastAsia="Times New Roman" w:cs="Times New Roman"/>
          <w:sz w:val="24"/>
          <w:szCs w:val="24"/>
        </w:rPr>
      </w:pPr>
      <w:bookmarkStart w:id="34" w:name="_Toc256000007"/>
      <w:bookmarkStart w:id="35" w:name="_Toc8219"/>
      <w:bookmarkStart w:id="36" w:name="_Toc396637391"/>
      <w:bookmarkStart w:id="37" w:name="_Toc6514"/>
      <w:bookmarkStart w:id="38" w:name="_Toc256000029"/>
      <w:r>
        <w:rPr>
          <w:rFonts w:hint="eastAsia" w:ascii="黑体" w:hAnsi="黑体" w:eastAsia="黑体" w:cs="黑体"/>
          <w:sz w:val="28"/>
          <w:szCs w:val="28"/>
        </w:rPr>
        <w:t>（二）政府部门会计报表附注</w:t>
      </w:r>
      <w:bookmarkEnd w:id="34"/>
      <w:bookmarkEnd w:id="35"/>
      <w:bookmarkEnd w:id="36"/>
      <w:bookmarkEnd w:id="37"/>
      <w:bookmarkEnd w:id="38"/>
      <w:bookmarkStart w:id="39" w:name="a008"/>
      <w:bookmarkEnd w:id="39"/>
    </w:p>
    <w:p>
      <w:pPr>
        <w:pStyle w:val="4"/>
        <w:pageBreakBefore w:val="0"/>
        <w:kinsoku/>
        <w:wordWrap/>
        <w:overflowPunct/>
        <w:topLinePunct w:val="0"/>
        <w:bidi w:val="0"/>
        <w:adjustRightInd/>
        <w:snapToGrid/>
        <w:spacing w:before="0" w:after="0" w:line="460" w:lineRule="exact"/>
        <w:ind w:right="0" w:rightChars="0" w:firstLine="482" w:firstLineChars="200"/>
        <w:jc w:val="both"/>
        <w:textAlignment w:val="auto"/>
        <w:rPr>
          <w:rFonts w:hint="eastAsia" w:ascii="黑体" w:hAnsi="黑体" w:eastAsia="黑体" w:cs="黑体"/>
          <w:sz w:val="24"/>
          <w:szCs w:val="24"/>
        </w:rPr>
      </w:pPr>
      <w:bookmarkStart w:id="40" w:name="_Toc13785"/>
      <w:bookmarkStart w:id="41" w:name="_Toc256000030"/>
      <w:bookmarkStart w:id="42" w:name="_Toc495390249"/>
      <w:bookmarkStart w:id="43" w:name="_Toc256000008"/>
      <w:bookmarkStart w:id="44" w:name="_Toc13975"/>
      <w:r>
        <w:rPr>
          <w:rFonts w:hint="eastAsia" w:ascii="黑体" w:hAnsi="黑体" w:eastAsia="黑体" w:cs="黑体"/>
          <w:sz w:val="24"/>
          <w:szCs w:val="24"/>
        </w:rPr>
        <w:t>1. 会计报表编制基础</w:t>
      </w:r>
      <w:bookmarkEnd w:id="40"/>
      <w:bookmarkEnd w:id="41"/>
      <w:bookmarkEnd w:id="42"/>
      <w:bookmarkEnd w:id="43"/>
      <w:bookmarkEnd w:id="44"/>
    </w:p>
    <w:p>
      <w:pPr>
        <w:pageBreakBefore w:val="0"/>
        <w:widowControl/>
        <w:kinsoku/>
        <w:wordWrap/>
        <w:overflowPunct/>
        <w:topLinePunct w:val="0"/>
        <w:autoSpaceDE/>
        <w:autoSpaceDN/>
        <w:bidi w:val="0"/>
        <w:adjustRightInd/>
        <w:snapToGrid/>
        <w:spacing w:line="460" w:lineRule="exact"/>
        <w:ind w:right="0" w:rightChars="0" w:firstLine="480" w:firstLineChars="200"/>
        <w:jc w:val="both"/>
        <w:textAlignment w:val="auto"/>
        <w:rPr>
          <w:rFonts w:ascii="Times New Roman" w:hAnsi="Times New Roman" w:eastAsia="Times New Roman" w:cs="Times New Roman"/>
          <w:sz w:val="24"/>
          <w:szCs w:val="24"/>
        </w:rPr>
      </w:pPr>
      <w:bookmarkStart w:id="45" w:name="a009"/>
      <w:r>
        <w:rPr>
          <w:rFonts w:hint="eastAsia" w:ascii="宋体" w:hAnsi="宋体" w:eastAsia="宋体" w:cs="仿宋_GB2312"/>
          <w:kern w:val="16"/>
          <w:sz w:val="24"/>
          <w:szCs w:val="24"/>
        </w:rPr>
        <w:t>我部门会计报表以权责发生制为基础编制。</w:t>
      </w:r>
    </w:p>
    <w:bookmarkEnd w:id="45"/>
    <w:p>
      <w:pPr>
        <w:pStyle w:val="4"/>
        <w:pageBreakBefore w:val="0"/>
        <w:kinsoku/>
        <w:wordWrap/>
        <w:overflowPunct/>
        <w:topLinePunct w:val="0"/>
        <w:bidi w:val="0"/>
        <w:adjustRightInd/>
        <w:snapToGrid/>
        <w:spacing w:before="0" w:after="0" w:line="460" w:lineRule="exact"/>
        <w:ind w:right="0" w:rightChars="0" w:firstLine="562" w:firstLineChars="200"/>
        <w:jc w:val="both"/>
        <w:textAlignment w:val="auto"/>
        <w:rPr>
          <w:rFonts w:hint="eastAsia" w:ascii="黑体" w:hAnsi="黑体" w:eastAsia="黑体" w:cs="黑体"/>
          <w:sz w:val="28"/>
          <w:szCs w:val="28"/>
        </w:rPr>
      </w:pPr>
      <w:bookmarkStart w:id="46" w:name="_Toc25428"/>
      <w:bookmarkStart w:id="47" w:name="_Toc256000009"/>
      <w:bookmarkStart w:id="48" w:name="_Toc229815524"/>
      <w:bookmarkStart w:id="49" w:name="_Toc13936"/>
      <w:bookmarkStart w:id="50" w:name="_Toc256000031"/>
      <w:r>
        <w:rPr>
          <w:rFonts w:hint="eastAsia" w:ascii="黑体" w:hAnsi="黑体" w:eastAsia="黑体" w:cs="黑体"/>
          <w:sz w:val="28"/>
          <w:szCs w:val="28"/>
        </w:rPr>
        <w:t>2. 遵循相关制度规定的声明</w:t>
      </w:r>
      <w:bookmarkEnd w:id="46"/>
      <w:bookmarkEnd w:id="47"/>
      <w:bookmarkEnd w:id="48"/>
      <w:bookmarkEnd w:id="49"/>
      <w:bookmarkEnd w:id="50"/>
    </w:p>
    <w:p>
      <w:pPr>
        <w:pageBreakBefore w:val="0"/>
        <w:widowControl/>
        <w:kinsoku/>
        <w:wordWrap/>
        <w:overflowPunct/>
        <w:topLinePunct w:val="0"/>
        <w:autoSpaceDE/>
        <w:autoSpaceDN/>
        <w:bidi w:val="0"/>
        <w:adjustRightInd/>
        <w:snapToGrid/>
        <w:spacing w:line="460" w:lineRule="exact"/>
        <w:ind w:right="0" w:rightChars="0" w:firstLine="480" w:firstLineChars="200"/>
        <w:jc w:val="both"/>
        <w:textAlignment w:val="auto"/>
        <w:rPr>
          <w:rFonts w:ascii="宋体" w:hAnsi="宋体" w:eastAsia="宋体"/>
          <w:sz w:val="28"/>
          <w:szCs w:val="28"/>
        </w:rPr>
      </w:pPr>
      <w:bookmarkStart w:id="51" w:name="_Toc256000032"/>
      <w:bookmarkStart w:id="52" w:name="_Toc890"/>
      <w:bookmarkStart w:id="53" w:name="_Toc256000010"/>
      <w:bookmarkStart w:id="54" w:name="_Toc8052"/>
      <w:bookmarkStart w:id="55" w:name="_Toc1333914562"/>
      <w:r>
        <w:rPr>
          <w:rFonts w:ascii="Times New Roman" w:hAnsi="Times New Roman" w:eastAsia="Times New Roman" w:cs="Times New Roman"/>
          <w:sz w:val="24"/>
          <w:szCs w:val="24"/>
        </w:rPr>
        <w:t>  </w:t>
      </w:r>
      <w:r>
        <w:rPr>
          <w:rFonts w:hint="eastAsia" w:ascii="宋体" w:hAnsi="宋体" w:eastAsia="宋体" w:cs="仿宋_GB2312"/>
          <w:kern w:val="16"/>
          <w:sz w:val="24"/>
          <w:szCs w:val="24"/>
        </w:rPr>
        <w:t>部门编制的会计报表符合政府会计准则、相关会计制度和财务报告编制规定的要求，如实反映本单位的财务状况、运行情况等有关信息。</w:t>
      </w:r>
    </w:p>
    <w:p>
      <w:pPr>
        <w:pStyle w:val="4"/>
        <w:pageBreakBefore w:val="0"/>
        <w:kinsoku/>
        <w:wordWrap/>
        <w:overflowPunct/>
        <w:topLinePunct w:val="0"/>
        <w:bidi w:val="0"/>
        <w:adjustRightInd/>
        <w:snapToGrid/>
        <w:spacing w:before="0" w:after="0" w:line="460" w:lineRule="exact"/>
        <w:ind w:right="0" w:rightChars="0" w:firstLine="482"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3. 合并范围</w:t>
      </w:r>
      <w:bookmarkEnd w:id="51"/>
      <w:bookmarkEnd w:id="52"/>
      <w:bookmarkEnd w:id="53"/>
      <w:bookmarkEnd w:id="54"/>
      <w:bookmarkEnd w:id="55"/>
    </w:p>
    <w:p>
      <w:pPr>
        <w:pageBreakBefore w:val="0"/>
        <w:kinsoku/>
        <w:wordWrap/>
        <w:overflowPunct/>
        <w:topLinePunct w:val="0"/>
        <w:bidi w:val="0"/>
        <w:adjustRightInd/>
        <w:snapToGrid/>
        <w:spacing w:line="460" w:lineRule="exact"/>
        <w:ind w:right="0" w:rightChars="0" w:firstLine="480" w:firstLineChars="200"/>
        <w:jc w:val="both"/>
        <w:textAlignment w:val="auto"/>
        <w:rPr>
          <w:rFonts w:ascii="Times New Roman" w:hAnsi="Times New Roman" w:eastAsia="宋体" w:cs="Times New Roman"/>
          <w:sz w:val="24"/>
          <w:szCs w:val="24"/>
        </w:rPr>
      </w:pPr>
      <w:bookmarkStart w:id="56" w:name="_Toc8062"/>
      <w:bookmarkStart w:id="57" w:name="_Toc256000011"/>
      <w:bookmarkStart w:id="58" w:name="_Toc1520252501"/>
      <w:bookmarkStart w:id="59" w:name="_Toc2849"/>
      <w:bookmarkStart w:id="60" w:name="_Toc256000033"/>
      <w:r>
        <w:rPr>
          <w:rFonts w:ascii="Times New Roman" w:hAnsi="Times New Roman" w:eastAsia="Times New Roman" w:cs="Times New Roman"/>
          <w:sz w:val="24"/>
          <w:szCs w:val="24"/>
        </w:rPr>
        <w:t> </w:t>
      </w:r>
      <w:r>
        <w:rPr>
          <w:rFonts w:hint="eastAsia" w:ascii="Times New Roman" w:hAnsi="Times New Roman" w:eastAsia="宋体" w:cs="Times New Roman"/>
          <w:sz w:val="24"/>
          <w:szCs w:val="24"/>
        </w:rPr>
        <w:t>我单位为行政单位，实有行政编制5人，下设信息化中心及医保服务中心二个2级单位，信息化中心实有事业编制15人，医保服务中心为参照公务员管理的事业编制，实有11人。</w:t>
      </w:r>
    </w:p>
    <w:p>
      <w:pPr>
        <w:pageBreakBefore w:val="0"/>
        <w:kinsoku/>
        <w:wordWrap/>
        <w:overflowPunct/>
        <w:topLinePunct w:val="0"/>
        <w:bidi w:val="0"/>
        <w:adjustRightInd/>
        <w:snapToGrid/>
        <w:spacing w:line="460" w:lineRule="exact"/>
        <w:ind w:right="0" w:rightChars="0" w:firstLine="480" w:firstLineChars="200"/>
        <w:jc w:val="both"/>
        <w:textAlignment w:val="auto"/>
        <w:rPr>
          <w:rFonts w:hint="eastAsia" w:eastAsia="宋体" w:cs="仿宋_GB2312"/>
          <w:kern w:val="16"/>
          <w:sz w:val="24"/>
        </w:rPr>
      </w:pPr>
      <w:r>
        <w:rPr>
          <w:rFonts w:hint="eastAsia" w:eastAsia="宋体" w:cs="仿宋_GB2312"/>
          <w:kern w:val="16"/>
          <w:sz w:val="24"/>
        </w:rPr>
        <w:t>本年为连续表报，财务独立，同上年一样独立编报2023年度政府财务报告。</w:t>
      </w:r>
    </w:p>
    <w:p>
      <w:pPr>
        <w:pStyle w:val="4"/>
        <w:pageBreakBefore w:val="0"/>
        <w:kinsoku/>
        <w:wordWrap/>
        <w:overflowPunct/>
        <w:topLinePunct w:val="0"/>
        <w:bidi w:val="0"/>
        <w:adjustRightInd/>
        <w:snapToGrid/>
        <w:spacing w:before="0" w:after="0" w:line="460" w:lineRule="exact"/>
        <w:ind w:right="0" w:rightChars="0" w:firstLine="482"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4. 重要会计政策与会计估计变更情况</w:t>
      </w:r>
      <w:bookmarkEnd w:id="56"/>
      <w:bookmarkEnd w:id="57"/>
      <w:bookmarkEnd w:id="58"/>
      <w:bookmarkEnd w:id="59"/>
      <w:bookmarkEnd w:id="60"/>
    </w:p>
    <w:p>
      <w:pPr>
        <w:pStyle w:val="37"/>
        <w:pageBreakBefore w:val="0"/>
        <w:kinsoku/>
        <w:wordWrap/>
        <w:overflowPunct/>
        <w:topLinePunct w:val="0"/>
        <w:bidi w:val="0"/>
        <w:adjustRightInd/>
        <w:snapToGrid/>
        <w:spacing w:line="460" w:lineRule="exact"/>
        <w:ind w:right="0" w:rightChars="0" w:firstLine="480" w:firstLineChars="200"/>
        <w:jc w:val="both"/>
        <w:textAlignment w:val="auto"/>
        <w:rPr>
          <w:rFonts w:ascii="宋体" w:hAnsi="宋体" w:eastAsia="宋体" w:cs="仿宋_GB2312"/>
          <w:kern w:val="16"/>
          <w:sz w:val="24"/>
          <w:szCs w:val="24"/>
        </w:rPr>
      </w:pPr>
      <w:r>
        <w:rPr>
          <w:rFonts w:hint="eastAsia" w:ascii="宋体" w:hAnsi="宋体" w:eastAsia="宋体" w:cs="仿宋_GB2312"/>
          <w:kern w:val="16"/>
          <w:sz w:val="24"/>
          <w:szCs w:val="24"/>
        </w:rPr>
        <w:t>（</w:t>
      </w:r>
      <w:r>
        <w:rPr>
          <w:rFonts w:ascii="宋体" w:hAnsi="宋体" w:eastAsia="宋体" w:cs="仿宋_GB2312"/>
          <w:kern w:val="16"/>
          <w:sz w:val="24"/>
          <w:szCs w:val="24"/>
        </w:rPr>
        <w:t>1</w:t>
      </w:r>
      <w:r>
        <w:rPr>
          <w:rFonts w:hint="eastAsia" w:ascii="宋体" w:hAnsi="宋体" w:eastAsia="宋体" w:cs="仿宋_GB2312"/>
          <w:kern w:val="16"/>
          <w:sz w:val="24"/>
          <w:szCs w:val="24"/>
        </w:rPr>
        <w:t>）会计期间。无变更</w:t>
      </w:r>
    </w:p>
    <w:p>
      <w:pPr>
        <w:pStyle w:val="37"/>
        <w:pageBreakBefore w:val="0"/>
        <w:kinsoku/>
        <w:wordWrap/>
        <w:overflowPunct/>
        <w:topLinePunct w:val="0"/>
        <w:bidi w:val="0"/>
        <w:adjustRightInd/>
        <w:snapToGrid/>
        <w:spacing w:line="460" w:lineRule="exact"/>
        <w:ind w:right="0" w:rightChars="0" w:firstLine="480" w:firstLineChars="200"/>
        <w:jc w:val="both"/>
        <w:textAlignment w:val="auto"/>
        <w:rPr>
          <w:rFonts w:ascii="宋体" w:hAnsi="宋体" w:eastAsia="宋体" w:cs="仿宋_GB2312"/>
          <w:kern w:val="16"/>
          <w:sz w:val="24"/>
          <w:szCs w:val="24"/>
        </w:rPr>
      </w:pPr>
      <w:r>
        <w:rPr>
          <w:rFonts w:hint="eastAsia" w:ascii="宋体" w:hAnsi="宋体" w:eastAsia="宋体" w:cs="仿宋_GB2312"/>
          <w:kern w:val="16"/>
          <w:sz w:val="24"/>
          <w:szCs w:val="24"/>
        </w:rPr>
        <w:t>（</w:t>
      </w:r>
      <w:r>
        <w:rPr>
          <w:rFonts w:ascii="宋体" w:hAnsi="宋体" w:eastAsia="宋体" w:cs="仿宋_GB2312"/>
          <w:kern w:val="16"/>
          <w:sz w:val="24"/>
          <w:szCs w:val="24"/>
        </w:rPr>
        <w:t>2</w:t>
      </w:r>
      <w:r>
        <w:rPr>
          <w:rFonts w:hint="eastAsia" w:ascii="宋体" w:hAnsi="宋体" w:eastAsia="宋体" w:cs="仿宋_GB2312"/>
          <w:kern w:val="16"/>
          <w:sz w:val="24"/>
          <w:szCs w:val="24"/>
        </w:rPr>
        <w:t>）记账本位币，外币折算汇率。人民币为记账本位币</w:t>
      </w:r>
    </w:p>
    <w:p>
      <w:pPr>
        <w:pStyle w:val="37"/>
        <w:pageBreakBefore w:val="0"/>
        <w:kinsoku/>
        <w:wordWrap/>
        <w:overflowPunct/>
        <w:topLinePunct w:val="0"/>
        <w:bidi w:val="0"/>
        <w:adjustRightInd/>
        <w:snapToGrid/>
        <w:spacing w:line="460" w:lineRule="exact"/>
        <w:ind w:right="0" w:rightChars="0" w:firstLine="480" w:firstLineChars="200"/>
        <w:jc w:val="both"/>
        <w:textAlignment w:val="auto"/>
        <w:rPr>
          <w:rFonts w:ascii="宋体" w:hAnsi="宋体" w:eastAsia="宋体"/>
          <w:sz w:val="24"/>
          <w:szCs w:val="24"/>
        </w:rPr>
      </w:pPr>
      <w:r>
        <w:rPr>
          <w:rFonts w:hint="eastAsia" w:ascii="宋体" w:hAnsi="宋体" w:eastAsia="宋体" w:cs="仿宋_GB2312"/>
          <w:kern w:val="16"/>
          <w:sz w:val="24"/>
          <w:szCs w:val="24"/>
        </w:rPr>
        <w:t>（3）对本年发生的重要会计政策和会计估计变更，应说明变更的内容和原因、受其重要影响的报表项目名称和金额，以及重要会计政策和会计估计变更开始适用的时点。本年没有发生会计政策和会计估计变更。</w:t>
      </w:r>
    </w:p>
    <w:p>
      <w:pPr>
        <w:pStyle w:val="4"/>
        <w:pageBreakBefore w:val="0"/>
        <w:kinsoku/>
        <w:wordWrap/>
        <w:overflowPunct/>
        <w:topLinePunct w:val="0"/>
        <w:bidi w:val="0"/>
        <w:adjustRightInd/>
        <w:snapToGrid/>
        <w:spacing w:before="0" w:after="0" w:line="460" w:lineRule="exact"/>
        <w:ind w:right="0" w:rightChars="0" w:firstLine="482" w:firstLineChars="200"/>
        <w:jc w:val="both"/>
        <w:textAlignment w:val="auto"/>
        <w:rPr>
          <w:rFonts w:hint="eastAsia" w:ascii="黑体" w:hAnsi="黑体" w:eastAsia="黑体" w:cs="黑体"/>
          <w:sz w:val="24"/>
          <w:szCs w:val="24"/>
        </w:rPr>
      </w:pPr>
      <w:bookmarkStart w:id="61" w:name="_Toc7933"/>
      <w:bookmarkStart w:id="62" w:name="_Toc256000034"/>
      <w:bookmarkStart w:id="63" w:name="_Toc256000012"/>
      <w:r>
        <w:rPr>
          <w:rFonts w:hint="eastAsia" w:ascii="黑体" w:hAnsi="黑体" w:eastAsia="黑体" w:cs="黑体"/>
          <w:sz w:val="24"/>
          <w:szCs w:val="24"/>
        </w:rPr>
        <w:t>5. 会计报表重要项目的明细信息及说明</w:t>
      </w:r>
      <w:bookmarkEnd w:id="61"/>
      <w:bookmarkEnd w:id="62"/>
      <w:bookmarkEnd w:id="63"/>
    </w:p>
    <w:p>
      <w:pPr>
        <w:pageBreakBefore w:val="0"/>
        <w:kinsoku/>
        <w:wordWrap/>
        <w:overflowPunct/>
        <w:topLinePunct w:val="0"/>
        <w:bidi w:val="0"/>
        <w:adjustRightInd/>
        <w:snapToGrid/>
        <w:spacing w:line="460" w:lineRule="exact"/>
        <w:ind w:right="0" w:rightChars="0" w:firstLine="480" w:firstLineChars="200"/>
        <w:jc w:val="both"/>
        <w:textAlignment w:val="auto"/>
        <w:rPr>
          <w:rFonts w:hint="eastAsia" w:ascii="宋体" w:hAnsi="宋体" w:eastAsia="宋体" w:cs="宋体"/>
          <w:sz w:val="24"/>
          <w:szCs w:val="24"/>
        </w:rPr>
        <w:sectPr>
          <w:pgSz w:w="12240" w:h="15840"/>
          <w:pgMar w:top="1984" w:right="1417" w:bottom="1701" w:left="1417" w:header="720" w:footer="720" w:gutter="0"/>
          <w:cols w:space="720" w:num="1"/>
        </w:sectPr>
      </w:pPr>
      <w:r>
        <w:rPr>
          <w:rFonts w:hint="eastAsia" w:ascii="宋体" w:hAnsi="宋体" w:eastAsia="宋体" w:cs="宋体"/>
          <w:sz w:val="24"/>
          <w:szCs w:val="24"/>
        </w:rPr>
        <w:t>无</w:t>
      </w:r>
    </w:p>
    <w:p>
      <w:pPr>
        <w:widowControl/>
        <w:autoSpaceDE/>
        <w:autoSpaceDN/>
        <w:spacing w:before="240" w:line="495" w:lineRule="atLeast"/>
        <w:rPr>
          <w:rFonts w:hint="eastAsia" w:ascii="宋体" w:hAnsi="宋体" w:eastAsia="宋体" w:cs="宋体"/>
          <w:sz w:val="24"/>
          <w:szCs w:val="24"/>
        </w:rPr>
      </w:pPr>
      <w:bookmarkStart w:id="64" w:name="a013"/>
      <w:r>
        <w:rPr>
          <w:rFonts w:ascii="宋体" w:hAnsi="宋体" w:eastAsia="宋体" w:cs="宋体"/>
          <w:sz w:val="27"/>
          <w:szCs w:val="27"/>
        </w:rPr>
        <w:t>（</w:t>
      </w:r>
      <w:r>
        <w:rPr>
          <w:rFonts w:ascii="Times New Roman" w:hAnsi="Times New Roman" w:eastAsia="Times New Roman" w:cs="Times New Roman"/>
          <w:sz w:val="27"/>
          <w:szCs w:val="27"/>
        </w:rPr>
        <w:t>1</w:t>
      </w:r>
      <w:r>
        <w:rPr>
          <w:rFonts w:hint="eastAsia" w:ascii="宋体" w:hAnsi="宋体" w:eastAsia="宋体" w:cs="宋体"/>
          <w:sz w:val="24"/>
          <w:szCs w:val="24"/>
        </w:rPr>
        <w:t>）货币资金明细信息如下：</w:t>
      </w:r>
    </w:p>
    <w:tbl>
      <w:tblPr>
        <w:tblStyle w:val="19"/>
        <w:tblW w:w="5000" w:type="pct"/>
        <w:jc w:val="center"/>
        <w:tblLayout w:type="autofit"/>
        <w:tblCellMar>
          <w:top w:w="15" w:type="dxa"/>
          <w:left w:w="15" w:type="dxa"/>
          <w:bottom w:w="15" w:type="dxa"/>
          <w:right w:w="15" w:type="dxa"/>
        </w:tblCellMar>
      </w:tblPr>
      <w:tblGrid>
        <w:gridCol w:w="4706"/>
        <w:gridCol w:w="2371"/>
        <w:gridCol w:w="2369"/>
      </w:tblGrid>
      <w:tr>
        <w:tblPrEx>
          <w:tblCellMar>
            <w:top w:w="15" w:type="dxa"/>
            <w:left w:w="15" w:type="dxa"/>
            <w:bottom w:w="15" w:type="dxa"/>
            <w:right w:w="15" w:type="dxa"/>
          </w:tblCellMar>
        </w:tblPrEx>
        <w:trPr>
          <w:trHeight w:val="330" w:hRule="atLeast"/>
          <w:tblHeader/>
          <w:jc w:val="center"/>
        </w:trPr>
        <w:tc>
          <w:tcPr>
            <w:tcW w:w="5000" w:type="pct"/>
            <w:gridSpan w:val="3"/>
            <w:tcMar>
              <w:top w:w="20" w:type="dxa"/>
              <w:left w:w="20" w:type="dxa"/>
              <w:bottom w:w="20" w:type="dxa"/>
              <w:right w:w="20" w:type="dxa"/>
            </w:tcMar>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附表1</w:t>
            </w:r>
          </w:p>
        </w:tc>
      </w:tr>
      <w:tr>
        <w:tblPrEx>
          <w:tblCellMar>
            <w:top w:w="15" w:type="dxa"/>
            <w:left w:w="15" w:type="dxa"/>
            <w:bottom w:w="15" w:type="dxa"/>
            <w:right w:w="15" w:type="dxa"/>
          </w:tblCellMar>
        </w:tblPrEx>
        <w:trPr>
          <w:trHeight w:val="330" w:hRule="atLeast"/>
          <w:tblHeader/>
          <w:jc w:val="center"/>
        </w:trPr>
        <w:tc>
          <w:tcPr>
            <w:tcW w:w="0" w:type="auto"/>
            <w:gridSpan w:val="3"/>
            <w:tcMar>
              <w:top w:w="20" w:type="dxa"/>
              <w:left w:w="20" w:type="dxa"/>
              <w:bottom w:w="2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货币资金明细表</w:t>
            </w:r>
          </w:p>
        </w:tc>
      </w:tr>
      <w:tr>
        <w:tblPrEx>
          <w:tblCellMar>
            <w:top w:w="15" w:type="dxa"/>
            <w:left w:w="15" w:type="dxa"/>
            <w:bottom w:w="15" w:type="dxa"/>
            <w:right w:w="15" w:type="dxa"/>
          </w:tblCellMar>
        </w:tblPrEx>
        <w:trPr>
          <w:trHeight w:val="330" w:hRule="atLeast"/>
          <w:tblHeader/>
          <w:jc w:val="center"/>
        </w:trPr>
        <w:tc>
          <w:tcPr>
            <w:tcW w:w="2130" w:type="dxa"/>
            <w:gridSpan w:val="3"/>
            <w:tcBorders>
              <w:bottom w:val="single" w:color="000000" w:sz="12" w:space="0"/>
            </w:tcBorders>
            <w:tcMar>
              <w:top w:w="2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年末数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年初数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库存现金</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银行存款</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0.48</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9.68</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其他货币资金</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0.48</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9.68</w:t>
            </w:r>
          </w:p>
        </w:tc>
      </w:tr>
    </w:tbl>
    <w:p>
      <w:pPr>
        <w:widowControl/>
        <w:autoSpaceDE/>
        <w:autoSpaceDN/>
        <w:spacing w:line="495" w:lineRule="atLeast"/>
        <w:rPr>
          <w:rFonts w:hint="eastAsia" w:ascii="宋体" w:hAnsi="宋体" w:eastAsia="宋体" w:cs="宋体"/>
          <w:sz w:val="24"/>
          <w:szCs w:val="24"/>
        </w:rPr>
      </w:pPr>
      <w:r>
        <w:rPr>
          <w:rFonts w:hint="eastAsia" w:ascii="宋体" w:hAnsi="宋体" w:eastAsia="宋体" w:cs="宋体"/>
          <w:sz w:val="24"/>
          <w:szCs w:val="24"/>
        </w:rPr>
        <w:t>（2）应收票据明细（无）</w:t>
      </w:r>
    </w:p>
    <w:p>
      <w:pPr>
        <w:widowControl/>
        <w:autoSpaceDE/>
        <w:autoSpaceDN/>
        <w:spacing w:line="495" w:lineRule="atLeast"/>
        <w:rPr>
          <w:rFonts w:hint="eastAsia" w:ascii="宋体" w:hAnsi="宋体" w:eastAsia="宋体" w:cs="宋体"/>
          <w:sz w:val="24"/>
          <w:szCs w:val="24"/>
        </w:rPr>
      </w:pPr>
      <w:r>
        <w:rPr>
          <w:rFonts w:hint="eastAsia" w:ascii="宋体" w:hAnsi="宋体" w:eastAsia="宋体" w:cs="宋体"/>
          <w:sz w:val="24"/>
          <w:szCs w:val="24"/>
        </w:rPr>
        <w:t>（3）应收账款净额明细（无）</w:t>
      </w:r>
    </w:p>
    <w:p>
      <w:pPr>
        <w:widowControl/>
        <w:autoSpaceDE/>
        <w:autoSpaceDN/>
        <w:spacing w:line="495" w:lineRule="atLeast"/>
        <w:rPr>
          <w:rFonts w:hint="eastAsia" w:ascii="宋体" w:hAnsi="宋体" w:eastAsia="宋体" w:cs="宋体"/>
          <w:sz w:val="24"/>
          <w:szCs w:val="24"/>
        </w:rPr>
      </w:pPr>
      <w:r>
        <w:rPr>
          <w:rFonts w:hint="eastAsia" w:ascii="宋体" w:hAnsi="宋体" w:eastAsia="宋体" w:cs="宋体"/>
          <w:sz w:val="24"/>
          <w:szCs w:val="24"/>
        </w:rPr>
        <w:t>（4）预付账款明细（无）</w:t>
      </w:r>
    </w:p>
    <w:p>
      <w:pPr>
        <w:widowControl/>
        <w:autoSpaceDE/>
        <w:autoSpaceDN/>
        <w:spacing w:line="495" w:lineRule="atLeast"/>
        <w:rPr>
          <w:rFonts w:hint="eastAsia" w:ascii="宋体" w:hAnsi="宋体" w:eastAsia="宋体" w:cs="宋体"/>
          <w:sz w:val="24"/>
          <w:szCs w:val="24"/>
        </w:rPr>
      </w:pPr>
      <w:r>
        <w:rPr>
          <w:rFonts w:hint="eastAsia" w:ascii="宋体" w:hAnsi="宋体" w:eastAsia="宋体" w:cs="宋体"/>
          <w:sz w:val="24"/>
          <w:szCs w:val="24"/>
        </w:rPr>
        <w:t>（5）其他应收款净额明细（无）</w:t>
      </w:r>
    </w:p>
    <w:p>
      <w:pPr>
        <w:widowControl/>
        <w:autoSpaceDE/>
        <w:autoSpaceDN/>
        <w:spacing w:line="495" w:lineRule="atLeast"/>
        <w:rPr>
          <w:rFonts w:hint="eastAsia" w:ascii="宋体" w:hAnsi="宋体" w:eastAsia="宋体" w:cs="宋体"/>
          <w:sz w:val="24"/>
          <w:szCs w:val="24"/>
        </w:rPr>
      </w:pPr>
      <w:r>
        <w:rPr>
          <w:rFonts w:hint="eastAsia" w:ascii="宋体" w:hAnsi="宋体" w:eastAsia="宋体" w:cs="宋体"/>
          <w:sz w:val="24"/>
          <w:szCs w:val="24"/>
        </w:rPr>
        <w:t>（6）长期投资及投资收益明细（无）</w:t>
      </w:r>
    </w:p>
    <w:p>
      <w:pPr>
        <w:rPr>
          <w:rFonts w:hint="eastAsia" w:ascii="宋体" w:hAnsi="宋体" w:eastAsia="宋体" w:cs="宋体"/>
          <w:sz w:val="24"/>
          <w:szCs w:val="24"/>
        </w:rPr>
        <w:sectPr>
          <w:pgSz w:w="12240" w:h="15840"/>
          <w:pgMar w:top="1984" w:right="1417" w:bottom="1701" w:left="1417" w:header="720" w:footer="720" w:gutter="0"/>
          <w:cols w:space="720" w:num="1"/>
        </w:sectPr>
      </w:pPr>
    </w:p>
    <w:p>
      <w:pPr>
        <w:widowControl/>
        <w:autoSpaceDE/>
        <w:autoSpaceDN/>
        <w:spacing w:before="240" w:line="495" w:lineRule="atLeast"/>
        <w:rPr>
          <w:rFonts w:hint="eastAsia" w:ascii="宋体" w:hAnsi="宋体" w:eastAsia="宋体" w:cs="宋体"/>
          <w:sz w:val="24"/>
          <w:szCs w:val="24"/>
        </w:rPr>
      </w:pPr>
      <w:r>
        <w:rPr>
          <w:rFonts w:hint="eastAsia" w:ascii="宋体" w:hAnsi="宋体" w:eastAsia="宋体" w:cs="宋体"/>
          <w:sz w:val="24"/>
          <w:szCs w:val="24"/>
        </w:rPr>
        <w:t>（7）固定资产明细信息如下：</w:t>
      </w:r>
    </w:p>
    <w:tbl>
      <w:tblPr>
        <w:tblStyle w:val="19"/>
        <w:tblW w:w="5000" w:type="pct"/>
        <w:jc w:val="center"/>
        <w:tblLayout w:type="autofit"/>
        <w:tblCellMar>
          <w:top w:w="15" w:type="dxa"/>
          <w:left w:w="15" w:type="dxa"/>
          <w:bottom w:w="15" w:type="dxa"/>
          <w:right w:w="15" w:type="dxa"/>
        </w:tblCellMar>
      </w:tblPr>
      <w:tblGrid>
        <w:gridCol w:w="3134"/>
        <w:gridCol w:w="1577"/>
        <w:gridCol w:w="1577"/>
        <w:gridCol w:w="1580"/>
        <w:gridCol w:w="1578"/>
      </w:tblGrid>
      <w:tr>
        <w:tblPrEx>
          <w:tblCellMar>
            <w:top w:w="15" w:type="dxa"/>
            <w:left w:w="15" w:type="dxa"/>
            <w:bottom w:w="15" w:type="dxa"/>
            <w:right w:w="15" w:type="dxa"/>
          </w:tblCellMar>
        </w:tblPrEx>
        <w:trPr>
          <w:trHeight w:val="330" w:hRule="atLeast"/>
          <w:tblHeader/>
          <w:jc w:val="center"/>
        </w:trPr>
        <w:tc>
          <w:tcPr>
            <w:tcW w:w="5000" w:type="pct"/>
            <w:gridSpan w:val="5"/>
            <w:tcMar>
              <w:top w:w="20" w:type="dxa"/>
              <w:left w:w="20" w:type="dxa"/>
              <w:bottom w:w="20" w:type="dxa"/>
              <w:right w:w="20" w:type="dxa"/>
            </w:tcMar>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附表7</w:t>
            </w:r>
          </w:p>
        </w:tc>
      </w:tr>
      <w:tr>
        <w:tblPrEx>
          <w:tblCellMar>
            <w:top w:w="15" w:type="dxa"/>
            <w:left w:w="15" w:type="dxa"/>
            <w:bottom w:w="15" w:type="dxa"/>
            <w:right w:w="15" w:type="dxa"/>
          </w:tblCellMar>
        </w:tblPrEx>
        <w:trPr>
          <w:trHeight w:val="330" w:hRule="atLeast"/>
          <w:tblHeader/>
          <w:jc w:val="center"/>
        </w:trPr>
        <w:tc>
          <w:tcPr>
            <w:tcW w:w="0" w:type="auto"/>
            <w:gridSpan w:val="5"/>
            <w:tcMar>
              <w:top w:w="20" w:type="dxa"/>
              <w:left w:w="20" w:type="dxa"/>
              <w:bottom w:w="2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固定资产明细表</w:t>
            </w:r>
          </w:p>
        </w:tc>
      </w:tr>
      <w:tr>
        <w:tblPrEx>
          <w:tblCellMar>
            <w:top w:w="15" w:type="dxa"/>
            <w:left w:w="15" w:type="dxa"/>
            <w:bottom w:w="15" w:type="dxa"/>
            <w:right w:w="15" w:type="dxa"/>
          </w:tblCellMar>
        </w:tblPrEx>
        <w:trPr>
          <w:trHeight w:val="330" w:hRule="atLeast"/>
          <w:tblHeader/>
          <w:jc w:val="center"/>
        </w:trPr>
        <w:tc>
          <w:tcPr>
            <w:tcW w:w="2130" w:type="dxa"/>
            <w:gridSpan w:val="5"/>
            <w:tcBorders>
              <w:bottom w:val="single" w:color="000000" w:sz="12" w:space="0"/>
            </w:tcBorders>
            <w:tcMar>
              <w:top w:w="2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年初数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本年增加</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本年减少</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年末数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原值合计</w:t>
            </w:r>
          </w:p>
        </w:tc>
        <w:tc>
          <w:tcPr>
            <w:tcW w:w="2130" w:type="dxa"/>
            <w:tcMar>
              <w:top w:w="2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168.05</w:t>
            </w:r>
          </w:p>
        </w:tc>
        <w:tc>
          <w:tcPr>
            <w:tcW w:w="2130" w:type="dxa"/>
            <w:tcMar>
              <w:top w:w="2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16.50</w:t>
            </w:r>
          </w:p>
        </w:tc>
        <w:tc>
          <w:tcPr>
            <w:tcW w:w="2130" w:type="dxa"/>
            <w:tcMar>
              <w:top w:w="2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184.55</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房屋和构筑物</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0.32</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0.32</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设备</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150.19</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16.50</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166.69</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文物和陈列品</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图书和档案</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家具和用具</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17.54</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17.54</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特种动植物</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tcBorders>
            <w:tcMar>
              <w:top w:w="30" w:type="dxa"/>
              <w:left w:w="20" w:type="dxa"/>
              <w:bottom w:w="20" w:type="dxa"/>
              <w:right w:w="20" w:type="dxa"/>
            </w:tcMar>
            <w:vAlign w:val="center"/>
          </w:tcPr>
          <w:p>
            <w:pPr>
              <w:widowControl/>
              <w:autoSpaceDE/>
              <w:autoSpaceDN/>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累计折旧合计</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128.88</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9.02</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137.90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房屋和构筑物</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0.09</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0.08</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0.17</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设备</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123.71</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6.87</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130.58</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文物和陈列品</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图书和档案</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家具和用具</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5.08</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2.07</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7.15</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特种动植物</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CellMar>
            <w:top w:w="15" w:type="dxa"/>
            <w:left w:w="15" w:type="dxa"/>
            <w:bottom w:w="15" w:type="dxa"/>
            <w:right w:w="15" w:type="dxa"/>
          </w:tblCellMar>
        </w:tblPrEx>
        <w:trPr>
          <w:jc w:val="center"/>
        </w:trPr>
        <w:tc>
          <w:tcPr>
            <w:tcW w:w="4230" w:type="dxa"/>
            <w:tcBorders>
              <w:top w:val="single" w:color="000000" w:sz="12" w:space="0"/>
            </w:tcBorders>
            <w:tcMar>
              <w:top w:w="30" w:type="dxa"/>
              <w:left w:w="20" w:type="dxa"/>
              <w:bottom w:w="20" w:type="dxa"/>
              <w:right w:w="20" w:type="dxa"/>
            </w:tcMar>
            <w:vAlign w:val="center"/>
          </w:tcPr>
          <w:p>
            <w:pPr>
              <w:widowControl/>
              <w:autoSpaceDE/>
              <w:autoSpaceDN/>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净值合计</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39.17</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46.65</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房屋和构筑物</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0.23</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0.15</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设备</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26.48</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36.11</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文物和陈列品</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图书和档案</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家具和用具</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12.46</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10.39</w:t>
            </w: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特种动植物</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bl>
    <w:p>
      <w:pPr>
        <w:widowControl/>
        <w:autoSpaceDE/>
        <w:autoSpaceDN/>
        <w:spacing w:line="495" w:lineRule="atLeast"/>
        <w:rPr>
          <w:rFonts w:hint="eastAsia" w:ascii="宋体" w:hAnsi="宋体" w:eastAsia="宋体" w:cs="宋体"/>
          <w:sz w:val="24"/>
          <w:szCs w:val="24"/>
        </w:rPr>
      </w:pPr>
      <w:r>
        <w:rPr>
          <w:rFonts w:hint="eastAsia" w:ascii="宋体" w:hAnsi="宋体" w:eastAsia="宋体" w:cs="宋体"/>
          <w:sz w:val="24"/>
          <w:szCs w:val="24"/>
        </w:rPr>
        <w:t>（8）在建工程明细（无）</w:t>
      </w:r>
    </w:p>
    <w:p>
      <w:pPr>
        <w:rPr>
          <w:rFonts w:hint="eastAsia" w:ascii="宋体" w:hAnsi="宋体" w:eastAsia="宋体" w:cs="宋体"/>
          <w:sz w:val="24"/>
          <w:szCs w:val="24"/>
        </w:rPr>
        <w:sectPr>
          <w:pgSz w:w="12240" w:h="15840"/>
          <w:pgMar w:top="1984" w:right="1417" w:bottom="1701" w:left="1417" w:header="720" w:footer="720" w:gutter="0"/>
          <w:cols w:space="720" w:num="1"/>
        </w:sectPr>
      </w:pPr>
    </w:p>
    <w:p>
      <w:pPr>
        <w:widowControl/>
        <w:autoSpaceDE/>
        <w:autoSpaceDN/>
        <w:spacing w:before="240" w:line="495" w:lineRule="atLeast"/>
        <w:rPr>
          <w:rFonts w:hint="eastAsia" w:ascii="宋体" w:hAnsi="宋体" w:eastAsia="宋体" w:cs="宋体"/>
          <w:sz w:val="24"/>
          <w:szCs w:val="24"/>
        </w:rPr>
      </w:pPr>
      <w:r>
        <w:rPr>
          <w:rFonts w:ascii="宋体" w:hAnsi="宋体" w:eastAsia="宋体" w:cs="宋体"/>
          <w:sz w:val="27"/>
          <w:szCs w:val="27"/>
        </w:rPr>
        <w:t>（</w:t>
      </w:r>
      <w:r>
        <w:rPr>
          <w:rFonts w:ascii="Times New Roman" w:hAnsi="Times New Roman" w:eastAsia="Times New Roman" w:cs="Times New Roman"/>
          <w:sz w:val="27"/>
          <w:szCs w:val="27"/>
        </w:rPr>
        <w:t>9</w:t>
      </w:r>
      <w:r>
        <w:rPr>
          <w:rFonts w:hint="eastAsia" w:ascii="宋体" w:hAnsi="宋体" w:eastAsia="宋体" w:cs="宋体"/>
          <w:sz w:val="24"/>
          <w:szCs w:val="24"/>
        </w:rPr>
        <w:t>）无形资产明细信息如下：</w:t>
      </w:r>
    </w:p>
    <w:tbl>
      <w:tblPr>
        <w:tblStyle w:val="19"/>
        <w:tblW w:w="5000" w:type="pct"/>
        <w:jc w:val="center"/>
        <w:tblLayout w:type="autofit"/>
        <w:tblCellMar>
          <w:top w:w="15" w:type="dxa"/>
          <w:left w:w="15" w:type="dxa"/>
          <w:bottom w:w="15" w:type="dxa"/>
          <w:right w:w="15" w:type="dxa"/>
        </w:tblCellMar>
      </w:tblPr>
      <w:tblGrid>
        <w:gridCol w:w="3134"/>
        <w:gridCol w:w="1577"/>
        <w:gridCol w:w="1577"/>
        <w:gridCol w:w="1580"/>
        <w:gridCol w:w="1578"/>
      </w:tblGrid>
      <w:tr>
        <w:tblPrEx>
          <w:tblCellMar>
            <w:top w:w="15" w:type="dxa"/>
            <w:left w:w="15" w:type="dxa"/>
            <w:bottom w:w="15" w:type="dxa"/>
            <w:right w:w="15" w:type="dxa"/>
          </w:tblCellMar>
        </w:tblPrEx>
        <w:trPr>
          <w:trHeight w:val="330" w:hRule="atLeast"/>
          <w:tblHeader/>
          <w:jc w:val="center"/>
        </w:trPr>
        <w:tc>
          <w:tcPr>
            <w:tcW w:w="5000" w:type="pct"/>
            <w:gridSpan w:val="5"/>
            <w:tcMar>
              <w:top w:w="20" w:type="dxa"/>
              <w:left w:w="20" w:type="dxa"/>
              <w:bottom w:w="20" w:type="dxa"/>
              <w:right w:w="20" w:type="dxa"/>
            </w:tcMar>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附表9</w:t>
            </w:r>
          </w:p>
        </w:tc>
      </w:tr>
      <w:tr>
        <w:tblPrEx>
          <w:tblCellMar>
            <w:top w:w="15" w:type="dxa"/>
            <w:left w:w="15" w:type="dxa"/>
            <w:bottom w:w="15" w:type="dxa"/>
            <w:right w:w="15" w:type="dxa"/>
          </w:tblCellMar>
        </w:tblPrEx>
        <w:trPr>
          <w:trHeight w:val="330" w:hRule="atLeast"/>
          <w:tblHeader/>
          <w:jc w:val="center"/>
        </w:trPr>
        <w:tc>
          <w:tcPr>
            <w:tcW w:w="0" w:type="auto"/>
            <w:gridSpan w:val="5"/>
            <w:tcMar>
              <w:top w:w="20" w:type="dxa"/>
              <w:left w:w="20" w:type="dxa"/>
              <w:bottom w:w="2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无形资产明细表</w:t>
            </w:r>
          </w:p>
        </w:tc>
      </w:tr>
      <w:tr>
        <w:tblPrEx>
          <w:tblCellMar>
            <w:top w:w="15" w:type="dxa"/>
            <w:left w:w="15" w:type="dxa"/>
            <w:bottom w:w="15" w:type="dxa"/>
            <w:right w:w="15" w:type="dxa"/>
          </w:tblCellMar>
        </w:tblPrEx>
        <w:trPr>
          <w:trHeight w:val="330" w:hRule="atLeast"/>
          <w:tblHeader/>
          <w:jc w:val="center"/>
        </w:trPr>
        <w:tc>
          <w:tcPr>
            <w:tcW w:w="2130" w:type="dxa"/>
            <w:gridSpan w:val="5"/>
            <w:tcBorders>
              <w:bottom w:val="single" w:color="000000" w:sz="12" w:space="0"/>
            </w:tcBorders>
            <w:tcMar>
              <w:top w:w="2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年初数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本年增加</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本年减少</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年末数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原值合计</w:t>
            </w:r>
          </w:p>
        </w:tc>
        <w:tc>
          <w:tcPr>
            <w:tcW w:w="2130" w:type="dxa"/>
            <w:tcMar>
              <w:top w:w="2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0.50</w:t>
            </w:r>
          </w:p>
        </w:tc>
        <w:tc>
          <w:tcPr>
            <w:tcW w:w="2130" w:type="dxa"/>
            <w:tcMar>
              <w:top w:w="2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0.50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专利权</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非专利技术</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著作权</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资源资质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商标权</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信息数据</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0.50</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0.50</w:t>
            </w:r>
          </w:p>
        </w:tc>
      </w:tr>
      <w:tr>
        <w:tblPrEx>
          <w:tblCellMar>
            <w:top w:w="15" w:type="dxa"/>
            <w:left w:w="15" w:type="dxa"/>
            <w:bottom w:w="15" w:type="dxa"/>
            <w:right w:w="15" w:type="dxa"/>
          </w:tblCellMar>
        </w:tblPrEx>
        <w:trPr>
          <w:jc w:val="center"/>
        </w:trPr>
        <w:tc>
          <w:tcPr>
            <w:tcW w:w="4230" w:type="dxa"/>
            <w:tcBorders>
              <w:top w:val="single" w:color="000000" w:sz="12" w:space="0"/>
            </w:tcBorders>
            <w:tcMar>
              <w:top w:w="30" w:type="dxa"/>
              <w:left w:w="20" w:type="dxa"/>
              <w:bottom w:w="20" w:type="dxa"/>
              <w:right w:w="20" w:type="dxa"/>
            </w:tcMar>
            <w:vAlign w:val="center"/>
          </w:tcPr>
          <w:p>
            <w:pPr>
              <w:widowControl/>
              <w:autoSpaceDE/>
              <w:autoSpaceDN/>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累计摊销合计</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0.50</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0.50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专利权</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非专利技术</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著作权</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资源资质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商标权</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信息数据</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0.50</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0.50</w:t>
            </w:r>
          </w:p>
        </w:tc>
      </w:tr>
      <w:tr>
        <w:tblPrEx>
          <w:tblCellMar>
            <w:top w:w="15" w:type="dxa"/>
            <w:left w:w="15" w:type="dxa"/>
            <w:bottom w:w="15" w:type="dxa"/>
            <w:right w:w="15" w:type="dxa"/>
          </w:tblCellMar>
        </w:tblPrEx>
        <w:trPr>
          <w:jc w:val="center"/>
        </w:trPr>
        <w:tc>
          <w:tcPr>
            <w:tcW w:w="4230" w:type="dxa"/>
            <w:tcBorders>
              <w:top w:val="single" w:color="000000" w:sz="12" w:space="0"/>
            </w:tcBorders>
            <w:tcMar>
              <w:top w:w="30" w:type="dxa"/>
              <w:left w:w="20" w:type="dxa"/>
              <w:bottom w:w="20" w:type="dxa"/>
              <w:right w:w="20" w:type="dxa"/>
            </w:tcMar>
            <w:vAlign w:val="center"/>
          </w:tcPr>
          <w:p>
            <w:pPr>
              <w:widowControl/>
              <w:autoSpaceDE/>
              <w:autoSpaceDN/>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净值合计</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专利权</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非专利技术</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著作权</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资源资质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商标权</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信息数据</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bl>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附表10-1（无）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附表10-2（无）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附表10-3（无）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（11）政府储备物资明细（无）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ascii="Times New Roman" w:hAnsi="Times New Roman" w:eastAsia="宋体" w:cs="Times New Roman"/>
          <w:sz w:val="24"/>
          <w:szCs w:val="27"/>
        </w:rPr>
      </w:pPr>
      <w:r>
        <w:rPr>
          <w:rFonts w:ascii="宋体" w:hAnsi="宋体" w:eastAsia="宋体" w:cs="宋体"/>
          <w:sz w:val="24"/>
          <w:szCs w:val="27"/>
        </w:rPr>
        <w:t>（</w:t>
      </w:r>
      <w:r>
        <w:rPr>
          <w:rFonts w:ascii="Times New Roman" w:hAnsi="Times New Roman" w:eastAsia="宋体" w:cs="Times New Roman"/>
          <w:sz w:val="24"/>
          <w:szCs w:val="27"/>
        </w:rPr>
        <w:t>12</w:t>
      </w:r>
      <w:r>
        <w:rPr>
          <w:rFonts w:ascii="宋体" w:hAnsi="宋体" w:eastAsia="宋体" w:cs="宋体"/>
          <w:sz w:val="24"/>
          <w:szCs w:val="27"/>
        </w:rPr>
        <w:t>）保障性住房明细（无）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ascii="Times New Roman" w:hAnsi="Times New Roman" w:eastAsia="宋体" w:cs="Times New Roman"/>
          <w:sz w:val="24"/>
          <w:szCs w:val="27"/>
        </w:rPr>
      </w:pPr>
      <w:r>
        <w:rPr>
          <w:rFonts w:ascii="宋体" w:hAnsi="宋体" w:eastAsia="宋体" w:cs="宋体"/>
          <w:sz w:val="24"/>
          <w:szCs w:val="27"/>
        </w:rPr>
        <w:t>（</w:t>
      </w:r>
      <w:r>
        <w:rPr>
          <w:rFonts w:ascii="Times New Roman" w:hAnsi="Times New Roman" w:eastAsia="宋体" w:cs="Times New Roman"/>
          <w:sz w:val="24"/>
          <w:szCs w:val="27"/>
        </w:rPr>
        <w:t>13</w:t>
      </w:r>
      <w:r>
        <w:rPr>
          <w:rFonts w:ascii="宋体" w:hAnsi="宋体" w:eastAsia="宋体" w:cs="宋体"/>
          <w:sz w:val="24"/>
          <w:szCs w:val="27"/>
        </w:rPr>
        <w:t>）应付票据明细（无）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ascii="Times New Roman" w:hAnsi="Times New Roman" w:eastAsia="宋体" w:cs="Times New Roman"/>
          <w:sz w:val="24"/>
          <w:szCs w:val="27"/>
        </w:rPr>
      </w:pPr>
      <w:r>
        <w:rPr>
          <w:rFonts w:ascii="宋体" w:hAnsi="宋体" w:eastAsia="宋体" w:cs="宋体"/>
          <w:sz w:val="24"/>
          <w:szCs w:val="27"/>
        </w:rPr>
        <w:t>（</w:t>
      </w:r>
      <w:r>
        <w:rPr>
          <w:rFonts w:ascii="Times New Roman" w:hAnsi="Times New Roman" w:eastAsia="宋体" w:cs="Times New Roman"/>
          <w:sz w:val="24"/>
          <w:szCs w:val="27"/>
        </w:rPr>
        <w:t>14</w:t>
      </w:r>
      <w:r>
        <w:rPr>
          <w:rFonts w:ascii="宋体" w:hAnsi="宋体" w:eastAsia="宋体" w:cs="宋体"/>
          <w:sz w:val="24"/>
          <w:szCs w:val="27"/>
        </w:rPr>
        <w:t>）应付账款明细（无）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ascii="Times New Roman" w:hAnsi="Times New Roman" w:eastAsia="Times New Roman" w:cs="Times New Roman"/>
          <w:sz w:val="27"/>
          <w:szCs w:val="27"/>
        </w:rPr>
      </w:pPr>
      <w:r>
        <w:rPr>
          <w:rFonts w:ascii="宋体" w:hAnsi="宋体" w:eastAsia="宋体" w:cs="宋体"/>
          <w:sz w:val="24"/>
          <w:szCs w:val="27"/>
        </w:rPr>
        <w:t>（</w:t>
      </w:r>
      <w:r>
        <w:rPr>
          <w:rFonts w:ascii="Times New Roman" w:hAnsi="Times New Roman" w:eastAsia="宋体" w:cs="Times New Roman"/>
          <w:sz w:val="24"/>
          <w:szCs w:val="27"/>
        </w:rPr>
        <w:t>15</w:t>
      </w:r>
      <w:r>
        <w:rPr>
          <w:rFonts w:ascii="宋体" w:hAnsi="宋体" w:eastAsia="宋体" w:cs="宋体"/>
          <w:sz w:val="24"/>
          <w:szCs w:val="27"/>
        </w:rPr>
        <w:t>）预收账款明细（无）</w:t>
      </w:r>
    </w:p>
    <w:p>
      <w:pPr>
        <w:sectPr>
          <w:pgSz w:w="12240" w:h="15840"/>
          <w:pgMar w:top="1984" w:right="1417" w:bottom="1701" w:left="1417" w:header="720" w:footer="720" w:gutter="0"/>
          <w:cols w:space="720" w:num="1"/>
        </w:sectPr>
      </w:pPr>
    </w:p>
    <w:p>
      <w:pPr>
        <w:widowControl/>
        <w:autoSpaceDE/>
        <w:autoSpaceDN/>
        <w:spacing w:before="240" w:line="495"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（16）其他应付款明细信息如下：</w:t>
      </w:r>
    </w:p>
    <w:tbl>
      <w:tblPr>
        <w:tblStyle w:val="19"/>
        <w:tblW w:w="5000" w:type="pct"/>
        <w:jc w:val="center"/>
        <w:tblLayout w:type="autofit"/>
        <w:tblCellMar>
          <w:top w:w="15" w:type="dxa"/>
          <w:left w:w="15" w:type="dxa"/>
          <w:bottom w:w="15" w:type="dxa"/>
          <w:right w:w="15" w:type="dxa"/>
        </w:tblCellMar>
      </w:tblPr>
      <w:tblGrid>
        <w:gridCol w:w="6282"/>
        <w:gridCol w:w="3164"/>
      </w:tblGrid>
      <w:tr>
        <w:tblPrEx>
          <w:tblCellMar>
            <w:top w:w="15" w:type="dxa"/>
            <w:left w:w="15" w:type="dxa"/>
            <w:bottom w:w="15" w:type="dxa"/>
            <w:right w:w="15" w:type="dxa"/>
          </w:tblCellMar>
        </w:tblPrEx>
        <w:trPr>
          <w:trHeight w:val="330" w:hRule="atLeast"/>
          <w:tblHeader/>
          <w:jc w:val="center"/>
        </w:trPr>
        <w:tc>
          <w:tcPr>
            <w:tcW w:w="5000" w:type="pct"/>
            <w:gridSpan w:val="2"/>
            <w:tcMar>
              <w:top w:w="20" w:type="dxa"/>
              <w:left w:w="20" w:type="dxa"/>
              <w:bottom w:w="20" w:type="dxa"/>
              <w:right w:w="20" w:type="dxa"/>
            </w:tcMar>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附表16</w:t>
            </w:r>
          </w:p>
        </w:tc>
      </w:tr>
      <w:tr>
        <w:tblPrEx>
          <w:tblCellMar>
            <w:top w:w="15" w:type="dxa"/>
            <w:left w:w="15" w:type="dxa"/>
            <w:bottom w:w="15" w:type="dxa"/>
            <w:right w:w="15" w:type="dxa"/>
          </w:tblCellMar>
        </w:tblPrEx>
        <w:trPr>
          <w:trHeight w:val="330" w:hRule="atLeast"/>
          <w:tblHeader/>
          <w:jc w:val="center"/>
        </w:trPr>
        <w:tc>
          <w:tcPr>
            <w:tcW w:w="0" w:type="auto"/>
            <w:gridSpan w:val="2"/>
            <w:tcMar>
              <w:top w:w="20" w:type="dxa"/>
              <w:left w:w="20" w:type="dxa"/>
              <w:bottom w:w="2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其他应付款明细表</w:t>
            </w:r>
          </w:p>
        </w:tc>
      </w:tr>
      <w:tr>
        <w:tblPrEx>
          <w:tblCellMar>
            <w:top w:w="15" w:type="dxa"/>
            <w:left w:w="15" w:type="dxa"/>
            <w:bottom w:w="15" w:type="dxa"/>
            <w:right w:w="15" w:type="dxa"/>
          </w:tblCellMar>
        </w:tblPrEx>
        <w:trPr>
          <w:trHeight w:val="330" w:hRule="atLeast"/>
          <w:tblHeader/>
          <w:jc w:val="center"/>
        </w:trPr>
        <w:tc>
          <w:tcPr>
            <w:tcW w:w="2130" w:type="dxa"/>
            <w:gridSpan w:val="2"/>
            <w:tcBorders>
              <w:bottom w:val="single" w:color="000000" w:sz="12" w:space="0"/>
            </w:tcBorders>
            <w:tcMar>
              <w:top w:w="2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债权人</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年末数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应付本部门内部单位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应付本部门以外的同级政府单位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应付本部门以外的非同级政府单位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应付同级财政</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应付其他单位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0.03</w:t>
            </w: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0.03</w:t>
            </w:r>
          </w:p>
        </w:tc>
      </w:tr>
      <w:tr>
        <w:tblPrEx>
          <w:tblCellMar>
            <w:top w:w="15" w:type="dxa"/>
            <w:left w:w="15" w:type="dxa"/>
            <w:bottom w:w="15" w:type="dxa"/>
            <w:right w:w="15" w:type="dxa"/>
          </w:tblCellMar>
        </w:tblPrEx>
        <w:trPr>
          <w:jc w:val="center"/>
        </w:trPr>
        <w:tc>
          <w:tcPr>
            <w:tcW w:w="4230" w:type="dxa"/>
            <w:gridSpan w:val="2"/>
            <w:tcBorders>
              <w:top w:val="single" w:color="000000" w:sz="12" w:space="0"/>
            </w:tcBorders>
            <w:tcMar>
              <w:top w:w="30" w:type="dxa"/>
              <w:left w:w="20" w:type="dxa"/>
              <w:bottom w:w="20" w:type="dxa"/>
              <w:right w:w="20" w:type="dxa"/>
            </w:tcMar>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注：“应付同级财政”主要包括预拨经费、向同级财政部门借入的款项。</w:t>
            </w:r>
          </w:p>
        </w:tc>
      </w:tr>
    </w:tbl>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附表17-1（无）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附表17-2（无）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（18）长期应付款明细（无）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（19）事业收入明细（无）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（20）经营收入明细（无）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（21）非同级财政拨款收入明细（无）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（22）租金收入明细（无）</w:t>
      </w:r>
    </w:p>
    <w:p>
      <w:pPr>
        <w:keepNext w:val="0"/>
        <w:keepLines w:val="0"/>
        <w:pageBreakBefore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sz w:val="24"/>
          <w:szCs w:val="24"/>
        </w:rPr>
        <w:sectPr>
          <w:pgSz w:w="12240" w:h="15840"/>
          <w:pgMar w:top="1984" w:right="1417" w:bottom="1701" w:left="1417" w:header="720" w:footer="720" w:gutter="0"/>
          <w:cols w:space="720" w:num="1"/>
        </w:sectPr>
      </w:pPr>
    </w:p>
    <w:p>
      <w:pPr>
        <w:widowControl/>
        <w:autoSpaceDE/>
        <w:autoSpaceDN/>
        <w:spacing w:before="240" w:line="495"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（23）其他收入明细信息如下：</w:t>
      </w:r>
    </w:p>
    <w:tbl>
      <w:tblPr>
        <w:tblStyle w:val="19"/>
        <w:tblW w:w="5000" w:type="pct"/>
        <w:jc w:val="center"/>
        <w:tblLayout w:type="autofit"/>
        <w:tblCellMar>
          <w:top w:w="15" w:type="dxa"/>
          <w:left w:w="15" w:type="dxa"/>
          <w:bottom w:w="15" w:type="dxa"/>
          <w:right w:w="15" w:type="dxa"/>
        </w:tblCellMar>
      </w:tblPr>
      <w:tblGrid>
        <w:gridCol w:w="6282"/>
        <w:gridCol w:w="3164"/>
      </w:tblGrid>
      <w:tr>
        <w:tblPrEx>
          <w:tblCellMar>
            <w:top w:w="15" w:type="dxa"/>
            <w:left w:w="15" w:type="dxa"/>
            <w:bottom w:w="15" w:type="dxa"/>
            <w:right w:w="15" w:type="dxa"/>
          </w:tblCellMar>
        </w:tblPrEx>
        <w:trPr>
          <w:trHeight w:val="330" w:hRule="atLeast"/>
          <w:tblHeader/>
          <w:jc w:val="center"/>
        </w:trPr>
        <w:tc>
          <w:tcPr>
            <w:tcW w:w="5000" w:type="pct"/>
            <w:gridSpan w:val="2"/>
            <w:tcMar>
              <w:top w:w="20" w:type="dxa"/>
              <w:left w:w="20" w:type="dxa"/>
              <w:bottom w:w="20" w:type="dxa"/>
              <w:right w:w="20" w:type="dxa"/>
            </w:tcMar>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附表23</w:t>
            </w:r>
          </w:p>
        </w:tc>
      </w:tr>
      <w:tr>
        <w:tblPrEx>
          <w:tblCellMar>
            <w:top w:w="15" w:type="dxa"/>
            <w:left w:w="15" w:type="dxa"/>
            <w:bottom w:w="15" w:type="dxa"/>
            <w:right w:w="15" w:type="dxa"/>
          </w:tblCellMar>
        </w:tblPrEx>
        <w:trPr>
          <w:trHeight w:val="330" w:hRule="atLeast"/>
          <w:tblHeader/>
          <w:jc w:val="center"/>
        </w:trPr>
        <w:tc>
          <w:tcPr>
            <w:tcW w:w="0" w:type="auto"/>
            <w:gridSpan w:val="2"/>
            <w:tcMar>
              <w:top w:w="20" w:type="dxa"/>
              <w:left w:w="20" w:type="dxa"/>
              <w:bottom w:w="2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其他收入明细表</w:t>
            </w:r>
          </w:p>
        </w:tc>
      </w:tr>
      <w:tr>
        <w:tblPrEx>
          <w:tblCellMar>
            <w:top w:w="15" w:type="dxa"/>
            <w:left w:w="15" w:type="dxa"/>
            <w:bottom w:w="15" w:type="dxa"/>
            <w:right w:w="15" w:type="dxa"/>
          </w:tblCellMar>
        </w:tblPrEx>
        <w:trPr>
          <w:trHeight w:val="330" w:hRule="atLeast"/>
          <w:tblHeader/>
          <w:jc w:val="center"/>
        </w:trPr>
        <w:tc>
          <w:tcPr>
            <w:tcW w:w="2130" w:type="dxa"/>
            <w:gridSpan w:val="2"/>
            <w:tcBorders>
              <w:bottom w:val="single" w:color="000000" w:sz="12" w:space="0"/>
            </w:tcBorders>
            <w:tcMar>
              <w:top w:w="2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收入来源</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本年数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来自本部门内部单位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来自本部门以外的同级政府单位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来自本部门以外的非同级政府单位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来自其他单位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0.02</w:t>
            </w: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0.02</w:t>
            </w:r>
          </w:p>
        </w:tc>
      </w:tr>
    </w:tbl>
    <w:p>
      <w:pPr>
        <w:sectPr>
          <w:pgSz w:w="12240" w:h="15840"/>
          <w:pgMar w:top="1984" w:right="1417" w:bottom="1701" w:left="1417" w:header="720" w:footer="720" w:gutter="0"/>
          <w:cols w:space="720" w:num="1"/>
        </w:sectPr>
      </w:pPr>
    </w:p>
    <w:p>
      <w:pPr>
        <w:widowControl/>
        <w:autoSpaceDE/>
        <w:autoSpaceDN/>
        <w:spacing w:before="240" w:line="495"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（24）业务活动费用明细信息如下：</w:t>
      </w:r>
    </w:p>
    <w:tbl>
      <w:tblPr>
        <w:tblStyle w:val="19"/>
        <w:tblW w:w="5000" w:type="pct"/>
        <w:jc w:val="center"/>
        <w:tblLayout w:type="autofit"/>
        <w:tblCellMar>
          <w:top w:w="15" w:type="dxa"/>
          <w:left w:w="15" w:type="dxa"/>
          <w:bottom w:w="15" w:type="dxa"/>
          <w:right w:w="15" w:type="dxa"/>
        </w:tblCellMar>
      </w:tblPr>
      <w:tblGrid>
        <w:gridCol w:w="4706"/>
        <w:gridCol w:w="2371"/>
        <w:gridCol w:w="2369"/>
      </w:tblGrid>
      <w:tr>
        <w:tblPrEx>
          <w:tblCellMar>
            <w:top w:w="15" w:type="dxa"/>
            <w:left w:w="15" w:type="dxa"/>
            <w:bottom w:w="15" w:type="dxa"/>
            <w:right w:w="15" w:type="dxa"/>
          </w:tblCellMar>
        </w:tblPrEx>
        <w:trPr>
          <w:trHeight w:val="330" w:hRule="atLeast"/>
          <w:tblHeader/>
          <w:jc w:val="center"/>
        </w:trPr>
        <w:tc>
          <w:tcPr>
            <w:tcW w:w="5000" w:type="pct"/>
            <w:gridSpan w:val="3"/>
            <w:tcMar>
              <w:top w:w="20" w:type="dxa"/>
              <w:left w:w="20" w:type="dxa"/>
              <w:bottom w:w="20" w:type="dxa"/>
              <w:right w:w="20" w:type="dxa"/>
            </w:tcMar>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附表24</w:t>
            </w:r>
          </w:p>
        </w:tc>
      </w:tr>
      <w:tr>
        <w:tblPrEx>
          <w:tblCellMar>
            <w:top w:w="15" w:type="dxa"/>
            <w:left w:w="15" w:type="dxa"/>
            <w:bottom w:w="15" w:type="dxa"/>
            <w:right w:w="15" w:type="dxa"/>
          </w:tblCellMar>
        </w:tblPrEx>
        <w:trPr>
          <w:trHeight w:val="330" w:hRule="atLeast"/>
          <w:tblHeader/>
          <w:jc w:val="center"/>
        </w:trPr>
        <w:tc>
          <w:tcPr>
            <w:tcW w:w="0" w:type="auto"/>
            <w:gridSpan w:val="3"/>
            <w:tcMar>
              <w:top w:w="20" w:type="dxa"/>
              <w:left w:w="20" w:type="dxa"/>
              <w:bottom w:w="2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业务活动费用明细表</w:t>
            </w:r>
          </w:p>
        </w:tc>
      </w:tr>
      <w:tr>
        <w:tblPrEx>
          <w:tblCellMar>
            <w:top w:w="15" w:type="dxa"/>
            <w:left w:w="15" w:type="dxa"/>
            <w:bottom w:w="15" w:type="dxa"/>
            <w:right w:w="15" w:type="dxa"/>
          </w:tblCellMar>
        </w:tblPrEx>
        <w:trPr>
          <w:trHeight w:val="330" w:hRule="atLeast"/>
          <w:tblHeader/>
          <w:jc w:val="center"/>
        </w:trPr>
        <w:tc>
          <w:tcPr>
            <w:tcW w:w="2130" w:type="dxa"/>
            <w:gridSpan w:val="3"/>
            <w:tcBorders>
              <w:bottom w:val="single" w:color="000000" w:sz="12" w:space="0"/>
            </w:tcBorders>
            <w:tcMar>
              <w:top w:w="2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本年数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上年数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工资和福利费用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312.68</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455.91</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商品和服务费用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76.32</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46.11</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对个人和家庭的补助费用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1,511.10</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2,774.87</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对企业补助费用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固定资产折旧费用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4.22</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7.78</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无形资产摊销费用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公共基础设施折旧（摊销）费用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保障性住房折旧费用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计提专用基金</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其他业务活动费用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1,904.32</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3,284.67</w:t>
            </w:r>
          </w:p>
        </w:tc>
      </w:tr>
    </w:tbl>
    <w:p>
      <w:pPr>
        <w:rPr>
          <w:rFonts w:hint="eastAsia" w:ascii="宋体" w:hAnsi="宋体" w:eastAsia="宋体" w:cs="宋体"/>
          <w:sz w:val="24"/>
          <w:szCs w:val="24"/>
        </w:rPr>
        <w:sectPr>
          <w:pgSz w:w="12240" w:h="15840"/>
          <w:pgMar w:top="1984" w:right="1417" w:bottom="1701" w:left="1417" w:header="720" w:footer="720" w:gutter="0"/>
          <w:cols w:space="720" w:num="1"/>
        </w:sectPr>
      </w:pPr>
    </w:p>
    <w:p>
      <w:pPr>
        <w:widowControl/>
        <w:autoSpaceDE/>
        <w:autoSpaceDN/>
        <w:spacing w:before="240" w:line="495"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（25）单位管理费用明细信息如下：</w:t>
      </w:r>
    </w:p>
    <w:tbl>
      <w:tblPr>
        <w:tblStyle w:val="19"/>
        <w:tblW w:w="5000" w:type="pct"/>
        <w:jc w:val="center"/>
        <w:tblLayout w:type="autofit"/>
        <w:tblCellMar>
          <w:top w:w="15" w:type="dxa"/>
          <w:left w:w="15" w:type="dxa"/>
          <w:bottom w:w="15" w:type="dxa"/>
          <w:right w:w="15" w:type="dxa"/>
        </w:tblCellMar>
      </w:tblPr>
      <w:tblGrid>
        <w:gridCol w:w="4706"/>
        <w:gridCol w:w="2371"/>
        <w:gridCol w:w="2369"/>
      </w:tblGrid>
      <w:tr>
        <w:tblPrEx>
          <w:tblCellMar>
            <w:top w:w="15" w:type="dxa"/>
            <w:left w:w="15" w:type="dxa"/>
            <w:bottom w:w="15" w:type="dxa"/>
            <w:right w:w="15" w:type="dxa"/>
          </w:tblCellMar>
        </w:tblPrEx>
        <w:trPr>
          <w:trHeight w:val="330" w:hRule="atLeast"/>
          <w:tblHeader/>
          <w:jc w:val="center"/>
        </w:trPr>
        <w:tc>
          <w:tcPr>
            <w:tcW w:w="5000" w:type="pct"/>
            <w:gridSpan w:val="3"/>
            <w:tcMar>
              <w:top w:w="20" w:type="dxa"/>
              <w:left w:w="20" w:type="dxa"/>
              <w:bottom w:w="20" w:type="dxa"/>
              <w:right w:w="20" w:type="dxa"/>
            </w:tcMar>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附表25</w:t>
            </w:r>
          </w:p>
        </w:tc>
      </w:tr>
      <w:tr>
        <w:tblPrEx>
          <w:tblCellMar>
            <w:top w:w="15" w:type="dxa"/>
            <w:left w:w="15" w:type="dxa"/>
            <w:bottom w:w="15" w:type="dxa"/>
            <w:right w:w="15" w:type="dxa"/>
          </w:tblCellMar>
        </w:tblPrEx>
        <w:trPr>
          <w:trHeight w:val="330" w:hRule="atLeast"/>
          <w:tblHeader/>
          <w:jc w:val="center"/>
        </w:trPr>
        <w:tc>
          <w:tcPr>
            <w:tcW w:w="0" w:type="auto"/>
            <w:gridSpan w:val="3"/>
            <w:tcMar>
              <w:top w:w="20" w:type="dxa"/>
              <w:left w:w="20" w:type="dxa"/>
              <w:bottom w:w="2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单位管理费用明细表</w:t>
            </w:r>
          </w:p>
        </w:tc>
      </w:tr>
      <w:tr>
        <w:tblPrEx>
          <w:tblCellMar>
            <w:top w:w="15" w:type="dxa"/>
            <w:left w:w="15" w:type="dxa"/>
            <w:bottom w:w="15" w:type="dxa"/>
            <w:right w:w="15" w:type="dxa"/>
          </w:tblCellMar>
        </w:tblPrEx>
        <w:trPr>
          <w:trHeight w:val="330" w:hRule="atLeast"/>
          <w:tblHeader/>
          <w:jc w:val="center"/>
        </w:trPr>
        <w:tc>
          <w:tcPr>
            <w:tcW w:w="2130" w:type="dxa"/>
            <w:gridSpan w:val="3"/>
            <w:tcBorders>
              <w:bottom w:val="single" w:color="000000" w:sz="12" w:space="0"/>
            </w:tcBorders>
            <w:tcMar>
              <w:top w:w="2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本年数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上年数</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工资和福利费用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130.45</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43.18</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商品和服务费用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0.03</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0.01</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对个人和家庭的补助费用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372.80</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固定资产折旧费用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4.80</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无形资产摊销费用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color w:val="000000"/>
                <w:sz w:val="24"/>
                <w:szCs w:val="24"/>
              </w:rPr>
            </w:pPr>
            <w:r>
              <w:rPr>
                <w:rFonts w:hint="eastAsia" w:ascii="宋体" w:hAnsi="宋体" w:eastAsia="宋体" w:cs="宋体"/>
                <w:color w:val="000000"/>
                <w:sz w:val="24"/>
                <w:szCs w:val="24"/>
              </w:rPr>
              <w:t>其他单位管理费用</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508.08</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43.19</w:t>
            </w:r>
          </w:p>
        </w:tc>
      </w:tr>
    </w:tbl>
    <w:p>
      <w:pPr>
        <w:widowControl/>
        <w:autoSpaceDE/>
        <w:autoSpaceDN/>
        <w:spacing w:line="495" w:lineRule="atLeast"/>
        <w:rPr>
          <w:rFonts w:hint="eastAsia" w:ascii="宋体" w:hAnsi="宋体" w:eastAsia="宋体" w:cs="宋体"/>
          <w:sz w:val="24"/>
          <w:szCs w:val="24"/>
        </w:rPr>
      </w:pPr>
      <w:r>
        <w:rPr>
          <w:rFonts w:hint="eastAsia" w:ascii="宋体" w:hAnsi="宋体" w:eastAsia="宋体" w:cs="宋体"/>
          <w:sz w:val="24"/>
          <w:szCs w:val="24"/>
        </w:rPr>
        <w:t>（26）经营费用明细（无）</w:t>
      </w:r>
    </w:p>
    <w:p>
      <w:pPr>
        <w:rPr>
          <w:rFonts w:hint="eastAsia" w:ascii="宋体" w:hAnsi="宋体" w:eastAsia="宋体" w:cs="宋体"/>
          <w:sz w:val="24"/>
          <w:szCs w:val="24"/>
        </w:rPr>
        <w:sectPr>
          <w:pgSz w:w="12240" w:h="15840"/>
          <w:pgMar w:top="1984" w:right="1417" w:bottom="1701" w:left="1417" w:header="720" w:footer="720" w:gutter="0"/>
          <w:cols w:space="720" w:num="1"/>
        </w:sectPr>
      </w:pPr>
    </w:p>
    <w:p>
      <w:pPr>
        <w:widowControl/>
        <w:autoSpaceDE/>
        <w:autoSpaceDN/>
        <w:spacing w:before="240" w:line="495"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（27）商品和服务费用明细信息如下：</w:t>
      </w:r>
    </w:p>
    <w:tbl>
      <w:tblPr>
        <w:tblStyle w:val="19"/>
        <w:tblW w:w="5000" w:type="pct"/>
        <w:jc w:val="center"/>
        <w:tblLayout w:type="autofit"/>
        <w:tblCellMar>
          <w:top w:w="15" w:type="dxa"/>
          <w:left w:w="15" w:type="dxa"/>
          <w:bottom w:w="15" w:type="dxa"/>
          <w:right w:w="15" w:type="dxa"/>
        </w:tblCellMar>
      </w:tblPr>
      <w:tblGrid>
        <w:gridCol w:w="3025"/>
        <w:gridCol w:w="1522"/>
        <w:gridCol w:w="1522"/>
        <w:gridCol w:w="1524"/>
        <w:gridCol w:w="1523"/>
      </w:tblGrid>
      <w:tr>
        <w:tblPrEx>
          <w:tblCellMar>
            <w:top w:w="15" w:type="dxa"/>
            <w:left w:w="15" w:type="dxa"/>
            <w:bottom w:w="15" w:type="dxa"/>
            <w:right w:w="15" w:type="dxa"/>
          </w:tblCellMar>
        </w:tblPrEx>
        <w:trPr>
          <w:trHeight w:val="330" w:hRule="atLeast"/>
          <w:tblHeader/>
          <w:jc w:val="center"/>
        </w:trPr>
        <w:tc>
          <w:tcPr>
            <w:tcW w:w="5000" w:type="pct"/>
            <w:gridSpan w:val="5"/>
            <w:tcMar>
              <w:top w:w="20" w:type="dxa"/>
              <w:left w:w="20" w:type="dxa"/>
              <w:bottom w:w="20" w:type="dxa"/>
              <w:right w:w="20" w:type="dxa"/>
            </w:tcMar>
            <w:vAlign w:val="center"/>
          </w:tcPr>
          <w:p>
            <w:pPr>
              <w:widowControl/>
              <w:autoSpaceDE/>
              <w:autoSpaceDN/>
              <w:rPr>
                <w:rFonts w:hint="eastAsia" w:ascii="宋体" w:hAnsi="宋体" w:eastAsia="宋体" w:cs="宋体"/>
                <w:color w:val="000000"/>
                <w:sz w:val="24"/>
                <w:szCs w:val="24"/>
              </w:rPr>
            </w:pPr>
            <w:r>
              <w:rPr>
                <w:rFonts w:hint="eastAsia" w:ascii="宋体" w:hAnsi="宋体" w:eastAsia="宋体" w:cs="宋体"/>
                <w:color w:val="000000"/>
                <w:sz w:val="24"/>
                <w:szCs w:val="24"/>
              </w:rPr>
              <w:t>附表27</w:t>
            </w:r>
          </w:p>
        </w:tc>
      </w:tr>
      <w:tr>
        <w:tblPrEx>
          <w:tblCellMar>
            <w:top w:w="15" w:type="dxa"/>
            <w:left w:w="15" w:type="dxa"/>
            <w:bottom w:w="15" w:type="dxa"/>
            <w:right w:w="15" w:type="dxa"/>
          </w:tblCellMar>
        </w:tblPrEx>
        <w:trPr>
          <w:trHeight w:val="330" w:hRule="atLeast"/>
          <w:tblHeader/>
          <w:jc w:val="center"/>
        </w:trPr>
        <w:tc>
          <w:tcPr>
            <w:tcW w:w="0" w:type="auto"/>
            <w:gridSpan w:val="5"/>
            <w:tcMar>
              <w:top w:w="20" w:type="dxa"/>
              <w:left w:w="20" w:type="dxa"/>
              <w:bottom w:w="2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商品和服务费用明细表</w:t>
            </w:r>
          </w:p>
        </w:tc>
      </w:tr>
      <w:tr>
        <w:tblPrEx>
          <w:tblCellMar>
            <w:top w:w="15" w:type="dxa"/>
            <w:left w:w="15" w:type="dxa"/>
            <w:bottom w:w="15" w:type="dxa"/>
            <w:right w:w="15" w:type="dxa"/>
          </w:tblCellMar>
        </w:tblPrEx>
        <w:trPr>
          <w:trHeight w:val="330" w:hRule="atLeast"/>
          <w:tblHeader/>
          <w:jc w:val="center"/>
        </w:trPr>
        <w:tc>
          <w:tcPr>
            <w:tcW w:w="2130" w:type="dxa"/>
            <w:gridSpan w:val="5"/>
            <w:tcBorders>
              <w:bottom w:val="single" w:color="000000" w:sz="12" w:space="0"/>
            </w:tcBorders>
            <w:tcMar>
              <w:top w:w="2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单位：万元</w:t>
            </w:r>
          </w:p>
        </w:tc>
      </w:tr>
      <w:tr>
        <w:tblPrEx>
          <w:tblCellMar>
            <w:top w:w="15" w:type="dxa"/>
            <w:left w:w="15" w:type="dxa"/>
            <w:bottom w:w="15" w:type="dxa"/>
            <w:right w:w="15" w:type="dxa"/>
          </w:tblCellMar>
        </w:tblPrEx>
        <w:trPr>
          <w:tblHeader/>
          <w:jc w:val="center"/>
        </w:trPr>
        <w:tc>
          <w:tcPr>
            <w:tcW w:w="4230" w:type="dxa"/>
            <w:vMerge w:val="restart"/>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2130" w:type="dxa"/>
            <w:gridSpan w:val="4"/>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本年数</w:t>
            </w:r>
          </w:p>
        </w:tc>
      </w:tr>
      <w:tr>
        <w:tblPrEx>
          <w:tblCellMar>
            <w:top w:w="15" w:type="dxa"/>
            <w:left w:w="15" w:type="dxa"/>
            <w:bottom w:w="15" w:type="dxa"/>
            <w:right w:w="15" w:type="dxa"/>
          </w:tblCellMar>
        </w:tblPrEx>
        <w:trPr>
          <w:tblHeader/>
          <w:jc w:val="center"/>
        </w:trPr>
        <w:tc>
          <w:tcPr>
            <w:tcW w:w="0" w:type="auto"/>
            <w:vMerge w:val="continue"/>
            <w:tcBorders>
              <w:bottom w:val="single" w:color="000000" w:sz="12" w:space="0"/>
            </w:tcBorders>
            <w:vAlign w:val="center"/>
          </w:tcPr>
          <w:p>
            <w:pPr>
              <w:rPr>
                <w:rFonts w:hint="eastAsia" w:ascii="宋体" w:hAnsi="宋体" w:eastAsia="宋体" w:cs="宋体"/>
                <w:b/>
                <w:bCs/>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业务活动费用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单位管理费用</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经营费用</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支付给本部门内部单位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支付给本部门以外的同级政府单位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支付给本部门以外的非同级政府单位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支付给其他单位</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76.36</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76.32</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r>
              <w:rPr>
                <w:rFonts w:hint="eastAsia" w:ascii="宋体" w:hAnsi="宋体" w:eastAsia="宋体" w:cs="宋体"/>
                <w:color w:val="000000"/>
                <w:sz w:val="24"/>
                <w:szCs w:val="24"/>
              </w:rPr>
              <w:t>0.03</w:t>
            </w:r>
          </w:p>
        </w:tc>
        <w:tc>
          <w:tcPr>
            <w:tcW w:w="2130" w:type="dxa"/>
            <w:tcMar>
              <w:top w:w="20" w:type="dxa"/>
              <w:left w:w="20" w:type="dxa"/>
              <w:bottom w:w="20" w:type="dxa"/>
              <w:right w:w="20" w:type="dxa"/>
            </w:tcMar>
            <w:vAlign w:val="center"/>
          </w:tcPr>
          <w:p>
            <w:pPr>
              <w:widowControl/>
              <w:autoSpaceDE/>
              <w:autoSpaceDN/>
              <w:ind w:firstLine="225"/>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76.36</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76.32</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r>
              <w:rPr>
                <w:rFonts w:hint="eastAsia" w:ascii="宋体" w:hAnsi="宋体" w:eastAsia="宋体" w:cs="宋体"/>
                <w:color w:val="000000"/>
                <w:sz w:val="24"/>
                <w:szCs w:val="24"/>
              </w:rPr>
              <w:t>0.03</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hint="eastAsia" w:ascii="宋体" w:hAnsi="宋体" w:eastAsia="宋体" w:cs="宋体"/>
                <w:color w:val="000000"/>
                <w:sz w:val="24"/>
                <w:szCs w:val="24"/>
              </w:rPr>
            </w:pPr>
          </w:p>
        </w:tc>
      </w:tr>
    </w:tbl>
    <w:p>
      <w:pPr>
        <w:widowControl/>
        <w:autoSpaceDE/>
        <w:autoSpaceDN/>
        <w:spacing w:line="495" w:lineRule="atLeast"/>
        <w:rPr>
          <w:rFonts w:hint="eastAsia" w:ascii="宋体" w:hAnsi="宋体" w:eastAsia="宋体" w:cs="宋体"/>
          <w:sz w:val="24"/>
          <w:szCs w:val="24"/>
        </w:rPr>
      </w:pPr>
      <w:r>
        <w:rPr>
          <w:rFonts w:hint="eastAsia" w:ascii="宋体" w:hAnsi="宋体" w:eastAsia="宋体" w:cs="宋体"/>
          <w:sz w:val="24"/>
          <w:szCs w:val="24"/>
        </w:rPr>
        <w:t>（28）其他费用明细（无）</w:t>
      </w:r>
    </w:p>
    <w:bookmarkEnd w:id="64"/>
    <w:p>
      <w:pPr>
        <w:widowControl/>
        <w:autoSpaceDE/>
        <w:autoSpaceDN/>
        <w:rPr>
          <w:rFonts w:ascii="Times New Roman" w:hAnsi="Times New Roman" w:eastAsia="Times New Roman" w:cs="Times New Roman"/>
          <w:sz w:val="24"/>
          <w:szCs w:val="24"/>
        </w:rPr>
        <w:sectPr>
          <w:pgSz w:w="11910" w:h="16840"/>
          <w:pgMar w:top="1984" w:right="1417" w:bottom="1701" w:left="1417" w:header="0" w:footer="921" w:gutter="0"/>
          <w:cols w:space="720" w:num="1"/>
        </w:sectPr>
      </w:pPr>
      <w:r>
        <w:rPr>
          <w:rFonts w:hint="eastAsia" w:ascii="宋体" w:hAnsi="宋体" w:eastAsia="宋体" w:cs="宋体"/>
          <w:sz w:val="28"/>
          <w:szCs w:val="28"/>
        </w:rPr>
        <w:t xml:space="preserve"> </w:t>
      </w:r>
    </w:p>
    <w:p>
      <w:pPr>
        <w:pStyle w:val="4"/>
        <w:pageBreakBefore w:val="0"/>
        <w:kinsoku/>
        <w:wordWrap/>
        <w:overflowPunct/>
        <w:topLinePunct w:val="0"/>
        <w:bidi w:val="0"/>
        <w:adjustRightInd/>
        <w:snapToGrid/>
        <w:spacing w:before="0" w:after="0" w:line="460" w:lineRule="exact"/>
        <w:ind w:left="0" w:firstLine="482" w:firstLineChars="200"/>
        <w:jc w:val="both"/>
        <w:textAlignment w:val="auto"/>
      </w:pPr>
      <w:bookmarkStart w:id="65" w:name="_Toc26779"/>
      <w:bookmarkStart w:id="66" w:name="_Toc256000035"/>
      <w:bookmarkStart w:id="67" w:name="_Toc11310"/>
      <w:bookmarkStart w:id="68" w:name="_Toc256000013"/>
      <w:bookmarkStart w:id="69" w:name="_Toc860403552"/>
      <w:r>
        <w:rPr>
          <w:rFonts w:hint="eastAsia" w:ascii="黑体" w:hAnsi="黑体" w:eastAsia="黑体" w:cs="黑体"/>
          <w:sz w:val="24"/>
          <w:szCs w:val="24"/>
        </w:rPr>
        <w:t>6. 需要说明的其他事项</w:t>
      </w:r>
      <w:bookmarkEnd w:id="65"/>
      <w:bookmarkEnd w:id="66"/>
      <w:bookmarkEnd w:id="67"/>
      <w:bookmarkEnd w:id="68"/>
      <w:bookmarkEnd w:id="69"/>
    </w:p>
    <w:p>
      <w:pPr>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bookmarkStart w:id="70" w:name="a014"/>
      <w:r>
        <w:rPr>
          <w:rFonts w:hint="eastAsia" w:ascii="宋体" w:hAnsi="宋体" w:eastAsia="宋体" w:cs="宋体"/>
          <w:sz w:val="24"/>
          <w:szCs w:val="24"/>
        </w:rPr>
        <w:t>（1）资产负债表日后重大事项。无资产负债表日后重大事项。</w:t>
      </w:r>
    </w:p>
    <w:p>
      <w:pPr>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（2）重要或有事项说明。逐笔披露政府部门或有事项的事由和金额，如担保事项、未决诉讼或未决仲裁等，若无法预计金额应说明理由。无重要或有事项。</w:t>
      </w:r>
    </w:p>
    <w:p>
      <w:pPr>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（3）以名义金额计量的资产名称、数量等情况，以及以名义金额计量理由的说明。我单位无以名义金额计量的资产名称、数量等情况。</w:t>
      </w:r>
    </w:p>
    <w:p>
      <w:pPr>
        <w:pageBreakBefore w:val="0"/>
        <w:widowControl/>
        <w:kinsoku/>
        <w:wordWrap/>
        <w:overflowPunct/>
        <w:topLinePunct w:val="0"/>
        <w:autoSpaceDE/>
        <w:autoSpaceDN/>
        <w:bidi w:val="0"/>
        <w:adjustRightInd/>
        <w:snapToGrid/>
        <w:spacing w:line="460" w:lineRule="exact"/>
        <w:ind w:left="0" w:firstLine="480" w:firstLineChars="200"/>
        <w:jc w:val="both"/>
        <w:textAlignment w:val="auto"/>
        <w:rPr>
          <w:rFonts w:ascii="Times New Roman" w:hAnsi="Times New Roman" w:cs="Times New Roman" w:eastAsiaTheme="minorEastAsia"/>
          <w:sz w:val="24"/>
          <w:szCs w:val="24"/>
        </w:rPr>
      </w:pPr>
    </w:p>
    <w:p>
      <w:pPr>
        <w:widowControl/>
        <w:autoSpaceDE/>
        <w:autoSpaceDN/>
        <w:spacing w:before="240"/>
        <w:rPr>
          <w:rFonts w:hint="eastAsia" w:ascii="Times New Roman" w:hAnsi="Times New Roman" w:cs="Times New Roman" w:eastAsiaTheme="minorEastAsia"/>
          <w:sz w:val="24"/>
          <w:szCs w:val="24"/>
        </w:rPr>
      </w:pPr>
    </w:p>
    <w:tbl>
      <w:tblPr>
        <w:tblStyle w:val="19"/>
        <w:tblW w:w="5000" w:type="pct"/>
        <w:jc w:val="center"/>
        <w:tblLayout w:type="autofit"/>
        <w:tblCellMar>
          <w:top w:w="15" w:type="dxa"/>
          <w:left w:w="15" w:type="dxa"/>
          <w:bottom w:w="15" w:type="dxa"/>
          <w:right w:w="15" w:type="dxa"/>
        </w:tblCellMar>
      </w:tblPr>
      <w:tblGrid>
        <w:gridCol w:w="2958"/>
        <w:gridCol w:w="1490"/>
        <w:gridCol w:w="1490"/>
        <w:gridCol w:w="3178"/>
      </w:tblGrid>
      <w:tr>
        <w:tblPrEx>
          <w:tblCellMar>
            <w:top w:w="15" w:type="dxa"/>
            <w:left w:w="15" w:type="dxa"/>
            <w:bottom w:w="15" w:type="dxa"/>
            <w:right w:w="15" w:type="dxa"/>
          </w:tblCellMar>
        </w:tblPrEx>
        <w:trPr>
          <w:trHeight w:val="330" w:hRule="atLeast"/>
          <w:tblHeader/>
          <w:jc w:val="center"/>
        </w:trPr>
        <w:tc>
          <w:tcPr>
            <w:tcW w:w="5000" w:type="pct"/>
            <w:gridSpan w:val="4"/>
            <w:tcMar>
              <w:top w:w="20" w:type="dxa"/>
              <w:left w:w="20" w:type="dxa"/>
              <w:bottom w:w="2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宋体" w:hAnsi="宋体" w:eastAsia="宋体" w:cs="宋体"/>
                <w:color w:val="000000"/>
                <w:sz w:val="24"/>
                <w:szCs w:val="24"/>
              </w:rPr>
              <w:t>附</w:t>
            </w:r>
            <w:r>
              <w:rPr>
                <w:rFonts w:ascii="Times New Roman" w:hAnsi="Times New Roman" w:eastAsia="Times New Roman" w:cs="Times New Roman"/>
                <w:color w:val="000000"/>
                <w:sz w:val="24"/>
                <w:szCs w:val="24"/>
              </w:rPr>
              <w:t>3</w:t>
            </w:r>
          </w:p>
        </w:tc>
      </w:tr>
      <w:tr>
        <w:tblPrEx>
          <w:tblCellMar>
            <w:top w:w="15" w:type="dxa"/>
            <w:left w:w="15" w:type="dxa"/>
            <w:bottom w:w="15" w:type="dxa"/>
            <w:right w:w="15" w:type="dxa"/>
          </w:tblCellMar>
        </w:tblPrEx>
        <w:trPr>
          <w:trHeight w:val="330" w:hRule="atLeast"/>
          <w:tblHeader/>
          <w:jc w:val="center"/>
        </w:trPr>
        <w:tc>
          <w:tcPr>
            <w:tcW w:w="0" w:type="auto"/>
            <w:gridSpan w:val="4"/>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color w:val="000000"/>
                <w:sz w:val="30"/>
                <w:szCs w:val="30"/>
              </w:rPr>
            </w:pPr>
            <w:r>
              <w:rPr>
                <w:rFonts w:ascii="宋体" w:hAnsi="宋体" w:eastAsia="宋体" w:cs="宋体"/>
                <w:b/>
                <w:bCs/>
                <w:color w:val="000000"/>
                <w:sz w:val="30"/>
                <w:szCs w:val="30"/>
              </w:rPr>
              <w:t>以名义金额计量资产情况表</w:t>
            </w:r>
          </w:p>
        </w:tc>
      </w:tr>
      <w:tr>
        <w:tblPrEx>
          <w:tblCellMar>
            <w:top w:w="15" w:type="dxa"/>
            <w:left w:w="15" w:type="dxa"/>
            <w:bottom w:w="15" w:type="dxa"/>
            <w:right w:w="15" w:type="dxa"/>
          </w:tblCellMar>
        </w:tblPrEx>
        <w:trPr>
          <w:trHeight w:val="330" w:hRule="atLeast"/>
          <w:tblHeader/>
          <w:jc w:val="center"/>
        </w:trPr>
        <w:tc>
          <w:tcPr>
            <w:tcW w:w="2130" w:type="dxa"/>
            <w:gridSpan w:val="4"/>
            <w:tcBorders>
              <w:bottom w:val="single" w:color="000000" w:sz="12" w:space="0"/>
            </w:tcBorders>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tblHeader/>
          <w:jc w:val="center"/>
        </w:trPr>
        <w:tc>
          <w:tcPr>
            <w:tcW w:w="4230" w:type="dxa"/>
            <w:vMerge w:val="restart"/>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对象</w:t>
            </w:r>
          </w:p>
        </w:tc>
        <w:tc>
          <w:tcPr>
            <w:tcW w:w="2130" w:type="dxa"/>
            <w:gridSpan w:val="2"/>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数量</w:t>
            </w:r>
          </w:p>
        </w:tc>
        <w:tc>
          <w:tcPr>
            <w:tcW w:w="4545" w:type="dxa"/>
            <w:tcBorders>
              <w:left w:val="single" w:color="000000" w:sz="12" w:space="0"/>
              <w:bottom w:val="single" w:color="000000" w:sz="12" w:space="0"/>
            </w:tcBorders>
            <w:tcMar>
              <w:top w:w="20" w:type="dxa"/>
              <w:left w:w="3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　</w:t>
            </w:r>
          </w:p>
        </w:tc>
      </w:tr>
      <w:tr>
        <w:tblPrEx>
          <w:tblCellMar>
            <w:top w:w="15" w:type="dxa"/>
            <w:left w:w="15" w:type="dxa"/>
            <w:bottom w:w="15" w:type="dxa"/>
            <w:right w:w="15" w:type="dxa"/>
          </w:tblCellMar>
        </w:tblPrEx>
        <w:trPr>
          <w:tblHeader/>
          <w:jc w:val="center"/>
        </w:trPr>
        <w:tc>
          <w:tcPr>
            <w:tcW w:w="0" w:type="auto"/>
            <w:vMerge w:val="continue"/>
            <w:tcBorders>
              <w:bottom w:val="single" w:color="000000" w:sz="12" w:space="0"/>
            </w:tcBorders>
            <w:vAlign w:val="center"/>
          </w:tcPr>
          <w:p>
            <w:pPr>
              <w:rPr>
                <w:rFonts w:ascii="Times New Roman" w:hAnsi="Times New Roman" w:eastAsia="Times New Roman" w:cs="Times New Roman"/>
                <w:b/>
                <w:bCs/>
                <w:color w:val="000000"/>
                <w:sz w:val="24"/>
                <w:szCs w:val="24"/>
              </w:rPr>
            </w:pP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上年数</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本年数</w:t>
            </w:r>
          </w:p>
        </w:tc>
        <w:tc>
          <w:tcPr>
            <w:tcW w:w="4545" w:type="dxa"/>
            <w:tcBorders>
              <w:left w:val="single" w:color="000000" w:sz="12" w:space="0"/>
              <w:bottom w:val="single" w:color="000000" w:sz="12" w:space="0"/>
            </w:tcBorders>
            <w:tcMar>
              <w:top w:w="20" w:type="dxa"/>
              <w:left w:w="3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以名义金额计量的理由</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存货</w:t>
            </w: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固定资产</w:t>
            </w: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房屋和构筑物</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设备</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文物和陈列品</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图书和档案</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家具、用具</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特种动植物</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无形资产</w:t>
            </w: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专利权</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非专利技术</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著作权</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资源资质</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商标权</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信息数据</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其他</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c>
          <w:tcPr>
            <w:tcW w:w="4545" w:type="dxa"/>
            <w:tcBorders>
              <w:left w:val="single" w:color="000000" w:sz="12" w:space="0"/>
            </w:tcBorders>
            <w:tcMar>
              <w:top w:w="20" w:type="dxa"/>
              <w:left w:w="3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合计</w:t>
            </w: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2130" w:type="dxa"/>
            <w:tcBorders>
              <w:top w:val="single" w:color="000000" w:sz="12" w:space="0"/>
              <w:bottom w:val="single" w:color="000000" w:sz="12" w:space="0"/>
            </w:tcBorders>
            <w:tcMar>
              <w:top w:w="3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p>
        </w:tc>
        <w:tc>
          <w:tcPr>
            <w:tcW w:w="4545" w:type="dxa"/>
            <w:tcBorders>
              <w:top w:val="single" w:color="000000" w:sz="12" w:space="0"/>
              <w:left w:val="single" w:color="000000" w:sz="12" w:space="0"/>
              <w:bottom w:val="single" w:color="000000" w:sz="12" w:space="0"/>
            </w:tcBorders>
            <w:tcMar>
              <w:top w:w="30" w:type="dxa"/>
              <w:left w:w="30" w:type="dxa"/>
              <w:bottom w:w="30" w:type="dxa"/>
              <w:right w:w="20" w:type="dxa"/>
            </w:tcMar>
            <w:vAlign w:val="center"/>
          </w:tcPr>
          <w:p>
            <w:pPr>
              <w:widowControl/>
              <w:autoSpaceDE/>
              <w:autoSpaceDN/>
              <w:rPr>
                <w:rFonts w:ascii="Times New Roman" w:hAnsi="Times New Roman" w:eastAsia="Times New Roman" w:cs="Times New Roman"/>
                <w:color w:val="000000"/>
                <w:sz w:val="24"/>
                <w:szCs w:val="24"/>
              </w:rPr>
            </w:pPr>
          </w:p>
        </w:tc>
      </w:tr>
    </w:tbl>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使用政府专项债券资金形成的固定资产、在建工程、公共基础设施、保障性住房等资产的记账主体、账面价值、使用情况、收益情况及累计使用债券资金金额。我单位无使用政府专项债券资金形成的固定资产、在建工程、公共基础设施、保障性住房等资产的记账主体、账面价值、使用情况、收益情况及累计使用债券资金金额。</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使用其他债务资金形成的固定资产、在建工程、公共基础设施、保障性住房等资产的账面价值、使用情况、收益情况及债务偿还情况。我单位无使用其他债务资金形成的固定资产、在建工程、公共基础设施、保障性住房等资产的账面价值、使用情况、收益情况及债务偿还情况。</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（6）重要资产置换、无偿调入（出）、捐入（出）、报废、重大毁损等情况说明。我单位无重要资产置换、无偿调入（出）、捐入（出）、报废、重大毁损等情况。</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对于政府部门管理的公共基础设施、文物文化资产、保障性住房、自然资源资产等重要资产，披露种类和实物量等相关信息。我单位无对于政府部门管理的公共基础设施、文物文化资产、保障性住房、自然资源资产等重要资产，披露种类和实物量等相关信息。</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政府会计准则制度解释第4号》中规定的特殊情况抵销事项的报表项目及金额（由一级部门合并主体说明）。我单位无《政府会计准则制度解释第4号》中规定的特殊情况抵销事项的报表项目及金额（由一级部门合并主体说明）。</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(如：（1）超过10万元的应抵销事项是否全部抵销，未抵销的事项需说明原因。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（2）对附属单位补助费用、附属单位上缴收入是否全部抵销，未抵销的需说明原因。我单位无此类经济事项。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（3）是否存在《政府会计准则制度解释第4号》中规定的特殊情况抵销事项，相关事项是否合理。)我单位无此类经济事项。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（9）政府会计具体准则中要求附注披露的其他内容，以及其他未在报表中列示，但对政府部门财务状况有重大影响的事项。我单位无此类经济事项。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（10）资产负债表项目年初数调整情况。我单位资产负债表项目年初数无调整。</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（11）资产负债表中净资产与本部门（单位）行政事业性国有资产报告中净资产是否一致，需填列《部门财务报告与行政事业性国有资产报告衔接说明（提纲）》，并作为部门（单位）财务报告附件一并报送。</w:t>
      </w:r>
    </w:p>
    <w:bookmarkEnd w:id="70"/>
    <w:p>
      <w:pPr>
        <w:keepNext w:val="0"/>
        <w:keepLines w:val="0"/>
        <w:pageBreakBefore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sz w:val="28"/>
          <w:szCs w:val="28"/>
        </w:rPr>
        <w:sectPr>
          <w:pgSz w:w="11910" w:h="16840"/>
          <w:pgMar w:top="1984" w:right="1417" w:bottom="1701" w:left="1417" w:header="0" w:footer="921" w:gutter="0"/>
          <w:cols w:space="720" w:num="1"/>
        </w:sectPr>
      </w:pPr>
      <w:r>
        <w:rPr>
          <w:rFonts w:hint="eastAsia" w:ascii="宋体" w:hAnsi="宋体" w:eastAsia="宋体" w:cs="宋体"/>
          <w:sz w:val="24"/>
          <w:szCs w:val="24"/>
        </w:rPr>
        <w:t>我单位资产负债表中净资产与本部门（单位）行政事业性国有资产报告中净资产一致。</w:t>
      </w:r>
    </w:p>
    <w:p>
      <w:pPr>
        <w:pStyle w:val="2"/>
        <w:keepNext w:val="0"/>
        <w:keepLines w:val="0"/>
        <w:pageBreakBefore w:val="0"/>
        <w:widowControl w:val="0"/>
        <w:kinsoku/>
        <w:wordWrap/>
        <w:overflowPunct/>
        <w:topLinePunct w:val="0"/>
        <w:autoSpaceDE w:val="0"/>
        <w:autoSpaceDN w:val="0"/>
        <w:bidi w:val="0"/>
        <w:adjustRightInd/>
        <w:snapToGrid/>
        <w:spacing w:before="251" w:beforeLines="80" w:after="157" w:afterLines="50"/>
        <w:ind w:left="0" w:firstLine="602" w:firstLineChars="200"/>
        <w:jc w:val="left"/>
        <w:textAlignment w:val="auto"/>
        <w:rPr>
          <w:rFonts w:ascii="黑体" w:hAnsi="黑体" w:eastAsia="黑体" w:cs="黑体"/>
          <w:b/>
          <w:bCs/>
          <w:sz w:val="30"/>
          <w:szCs w:val="30"/>
        </w:rPr>
      </w:pPr>
      <w:bookmarkStart w:id="71" w:name="_Toc1795103213"/>
      <w:bookmarkStart w:id="72" w:name="_Toc6201"/>
      <w:bookmarkStart w:id="73" w:name="_Toc23865"/>
      <w:bookmarkStart w:id="74" w:name="_Toc256000036"/>
      <w:bookmarkStart w:id="75" w:name="_Toc256000014"/>
      <w:r>
        <w:rPr>
          <w:rFonts w:hint="eastAsia" w:ascii="黑体" w:hAnsi="黑体" w:eastAsia="黑体" w:cs="黑体"/>
          <w:b/>
          <w:bCs/>
          <w:sz w:val="30"/>
          <w:szCs w:val="30"/>
        </w:rPr>
        <w:t>二、政府部门财务分析</w:t>
      </w:r>
      <w:bookmarkEnd w:id="71"/>
      <w:bookmarkEnd w:id="72"/>
      <w:bookmarkEnd w:id="73"/>
      <w:bookmarkEnd w:id="74"/>
      <w:bookmarkEnd w:id="75"/>
    </w:p>
    <w:p>
      <w:pPr>
        <w:pStyle w:val="3"/>
        <w:keepNext/>
        <w:keepLines/>
        <w:pageBreakBefore w:val="0"/>
        <w:widowControl w:val="0"/>
        <w:kinsoku/>
        <w:wordWrap/>
        <w:overflowPunct/>
        <w:topLinePunct w:val="0"/>
        <w:autoSpaceDE w:val="0"/>
        <w:autoSpaceDN w:val="0"/>
        <w:bidi w:val="0"/>
        <w:adjustRightInd/>
        <w:snapToGrid/>
        <w:spacing w:before="157" w:beforeLines="50" w:after="157" w:afterLines="50" w:line="240" w:lineRule="auto"/>
        <w:ind w:firstLine="562" w:firstLineChars="200"/>
        <w:textAlignment w:val="auto"/>
        <w:rPr>
          <w:rFonts w:ascii="Times New Roman" w:hAnsi="Times New Roman" w:eastAsia="Times New Roman" w:cs="Times New Roman"/>
          <w:sz w:val="24"/>
          <w:szCs w:val="24"/>
        </w:rPr>
      </w:pPr>
      <w:bookmarkStart w:id="76" w:name="a015"/>
      <w:r>
        <w:rPr>
          <w:rFonts w:hint="eastAsia" w:ascii="黑体" w:hAnsi="黑体" w:eastAsia="黑体" w:cs="黑体"/>
          <w:sz w:val="28"/>
          <w:szCs w:val="28"/>
        </w:rPr>
        <w:t>（一）政府部门工作目标完成情况</w:t>
      </w:r>
    </w:p>
    <w:p>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1、基本职能</w:t>
      </w:r>
      <w:bookmarkEnd w:id="76"/>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（1）贯彻落实国家、自治区、通辽市医疗保险、生育保险和医疗救助等政策，拟订统筹区医疗保险、生育保险、医疗救助相关政策、规划、标准并组织实施。</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负责医疗保障基金管理相关工作。协同有关部门编制统筹区医疗保障基金预决算草案，组织拟订医疗保障基金监督管理办法并经批准后组织实施，建立健全医疗保障基金安全防控机制，推进医疗保障基金支付方式改革。</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负责医疗保障待遇政策拟订和实施工作。组织拟订医疗保障筹资和待遇政策，完善动态调整和区域调剂平衡机制，统筹城乡医疗保障待遇标准，建立健全与筹资水平相适应的待遇调整机制。组织拟订并实施长期护理保险制度改革方案。</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（4）负责医保目录管理相关工作。贯彻落实城乡统一的药品、医用耗材、医疗服务项目、医疗服务设施等医保目录和支付标准，建立动态调整机制，贯彻执行国家医保目录准入谈判规则。</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负责医疗服务价格管理工作。贯彻落实国家药品、医用耗材价格政策，组织制定医疗服务项目、医疗服务设施收费等政策，建立医保支付医药服务价格的合理确定和动态调整机制，推动建立市场主导的社会医药服务价格形成机制，建立价格信息监测和信息发布制度。</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负责招标采购工作。贯彻落实国家、自治区、通辽市药品、医用耗材的招标采购、配送及结算管理政策，拟订统筹区药品、医用耗材的招标采购、配送及结算管理政策并监督实施，推进药品、医用耗材招标采购平台建设。</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负责医疗保障监管工作。制定定点医药机构协议和支付管理办法并组织实施，建立健全医疗保障信用评价体系和信息披露制度，监督管理纳入医保范围内的医疗服务行为和医疗费用，依法依规查处医疗保障领域违法违规行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（8）负责医疗保障经办管理和公共服务体系、信息化建设。组织制定和完善异地就医管理和费用结算政策。建立健全医疗保障关系转移接续制度。开展医疗保障领域合作交流。</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（9）完成霍林郭勒市委、政府交办的其他工作。</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职能转变。完善统一的城乡居民基本医疗保险制度、大病保险制度和医疗救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（11）有关职责分工。与市卫健委有关职责分工。市卫健委、市医疗保障局等部门在医疗、医保、医药等方面加强制度、政策衔接，建立沟通协商机制，协同推进改革，提高医疗资源使用效率和医疗保障水平。</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机构情况：本部门为霍林郭勒市医疗保障局，一级级预算单位，报表类型为：单户表。</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人员情况：年末独立核算机构数：2 个，在职人员：31人，离休人员：0 人，退休人员：0人，实有人数31人，一般公共预算财政拨款开支人员：31人，年末遗属人员：0人。</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2、年度工作目标执行情况</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扎实推进全民参保工作。完成2023年参保缴费任务，全年参保9.3万人（其中，城镇职工参保4.5万人，城乡居民参保4.8万人），完成参保任务的101%。积极推进全民参保数据核查系统试点工作，全面采集我市常住人口和户籍人口信息，摸清参保底数，精准锁定未参保人群，为进一步参保扩面打下坚实基础。启动2024年城乡居民医保参保缴费工作，通过线上线下大力宣传动员，加强与各部门协同联动，并联合市委督查室定期督导，确保我市参保缴费工作稳步推进。截至目前，我市2024年城乡居民医保参保44977人，完成参保任务的93.05%，其中，困难群体参保6595人，完成参保任务的96.04%。</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二是持续加强基金监管工作，确保基金安全稳定运行。截至10月末，基金收入38511.73万元。其中，城镇职工基金收入 33233.90万元，城乡居民基金收入4681.99万元，医疗救助总收入595.84万元。基金总支出14333.4万元。其中，城镇职工基金支出9300万元，城乡居民基金支出4408.16万元，医疗救助总支出625.39万元。累计结余139454.84万元，其中，城镇职工基金结余138000万元，城乡居民基金结余1372.27万元，医疗救助基金结余82.57万元。积极开展基金监管集中宣传月活动，广泛宣传解读医保基金监管法律法规与相关政策，引导公众正确认识和主动参与基金监管。配合通辽市局完成2022年专项整治行动的抽检复检，扣缴违规资金74.74万元，并将相关问题线索交由卫健、市场监管局等相关部门进行了处理。全面完成对191家医药机构的专项整治全覆盖检查，其中四家医疗机构由聘请的第三方机构进行的检查。72家医药机构在自查阶段，主动上缴违规金5.14万元，现场检查涉及违规费用共计77万元。牵头组织市场监管、卫健等部门对随机抽取的4家定点医药机构开展打击欺诈骗保跨部门联合检查及“双随机、一公开”监督检查，进一步规范医药机构服务行为。加强智能监控日常审核工作，累计扣缴违规金4.55万元。配合通辽市局完成2022年医保转移支付资金绩效评价和城乡居民医保基金内审工作，针对发现的问题认真分析原因，并以问题为导向，汇总问题台账，逐条整改，并及时反馈整改结果。</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巩固拓展脱贫攻坚同乡村振兴有效衔接工作。积极落实参保分类资助政策，2023年财政资助我市6687名低收入人口参保缴费，资助费用122万元，参保率100%。加强数据分析，提升低收入人口医疗费用预警监测工作质效，定期推送数据至民政、乡村振兴等部门，对确有返贫致贫风险的采取针对性措施予以处置，做到及时托底保障。做到及时托底。强化三重制度综合保障，做好医疗救助工作，减轻困难患者重特大疾病医疗费用负担。积极落实资金保障，全年争取并上划财政医疗救助配套资金665万元。</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是持续优化营商环境。纵深推进“综合柜员制”，优化办事窗口职能，提升“综窗”人员经办能力和服务效能，巩固扩大“两优”专项工作成果，“三减”（减少办事环节、办事要件、办理时限）事项28项，简化环节比率90%，精简要件比率80%，压缩时限比率82.5%。践行医保亮承诺事项8项，截至目前，8项承诺事项已全部高标准完成。持续开展“掌上办”“网上办”，28项医疗保障公共服务事项实现线上办理，6项实现线上“跨省通办”，网厅办结率90%、异地结算率88%。做好信访维稳，提升热线办理质量和效率，截止目前，12345市民热线响应率、办结率、好评率均为100%。全民参保数据核查系统试点工作在32个政府部门参加的全市优化营商环境亮点培育及晾晒比评中，荣获第一名的好成绩，并在7月底开展的通辽市优化营商环境及项目建设拉练比评中进行了展示。</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是稳步推进DIP支付方式改革。建立全流程监督指导机制，加强医疗机构上传数据管理，确保数据质量。以智能监管系统为依托，采取系统审核、人工复核、实地查核等方式，对DIP工作进行全方位动态审核监管。组织对两家二级公立医疗机构2022年度DIP考核清算工作，两家医院共获得DIP结余留用奖励120万元。组织对2023年纳入DIP付费的3家一级医疗机构开展集中培训，并聘请第三方专家深入我市四家定点医疗机构，针对各医疗机构DIP工作中存在问题和困难进行现场培训指导，进一步提升DIP运行质量和管理水平。</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是着力加强药品耗材采购精细化管理。持续加强公立医疗机构药品和医用耗材采购规范化管理。目前，五家公立医疗机构药品平均网采率99.91%，耗材平均网采率89.47%。加强对集采执行情况的核查与监督指导，发现问题及时进行督促提醒，不断提升药品和医用耗材集采工作精细化管理水平。推进种植牙降价落地实施，我市6家开展口腔种植的民营医疗机构，其中5家参加种植体耗材集采。组织对公立医疗机构开展第四次集采药品五个批次的医保基金结余留用考核，五家公立医疗机构共获得结余留用奖励120万元。完成2023年药品和医用耗材采购专项治理工作，进一步提升公立医疗机构药品和耗材采购规范管理水平。</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是全面打造“十五分钟便民服务圈”。投入19万元，在全市5个苏木（街道）、23个嘎查村（社区）、7个金融系统、2个企业高标准建成了37个基层医保服务站（点），基层医保服务站（点）分别承办医保经办事项19项、9项。组织对服务站（点）经办人员进行多轮集中和“点对点”培训，提升基层医保服务能力，联合政府督查办对基层医保服务站（点）建设情况进行实地督导，对工作成效进行全面检验，确保了基层医保服务站（点）建设工作有效推进和落实。截至目前我市的办件量约10000余件。</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是积极推进医保信息系统应用。持续宣传推广医保电子凭证激活应用，目前我市已激活医保电子凭证8.3万人，激活率90.5%。督促定点医疗机构持续推进全量接口改造、全流程应用，目前我市两家二级公立医疗机构已完成医保电子凭证全流程应用开发及电子处方流转接口改造，两家二级医院分别完成接口改造108项和91项。加强经办人员对医保信息平台功能模块的应用，规范运用医保经办操作规程办理医保业务，提升信息化工作能力和水平。</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是巩固落实医疗保障待遇。推动职工门诊统筹政策落地落实，将138家定点医疗机构和零售药店全部纳入普通门诊统筹定点范围，极大程度满足了群众就医购药需求。做好“霍煤2008年底前退休人员门诊统筹”待遇接续工作，积极向市政府及上级主管部门提出合理化建议，积极争取相关政策，经上级医保部门及市政府批准同意，保持退休人员待遇水平不变，有效防范和化解了这一信访风险隐患，最大限度地把矛盾化解在萌芽状态。</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是强化宣传、信息报送工作。多形式、多举措、全方位加强医保政策宣传，广泛利用微信公众号以及制作短视频等线上渠道和深入基层宣讲等形式，围绕基金监管、医保待遇、异地就医、医药服务、参保缴费、经办服务、医保电子凭证推广、门诊“两病”及职工门诊共济等内容，全面开展医保政策宣传活动，截止目前，悬挂条幅300余条，印制并发放宣传单50000余份。</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3.绩效目标及完成情况</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本部门2023年预算执行率100%，支出预算2023实际支出为2412.40万元。“三公经费”控制率100%。我局无重点项目绩效评价。</w:t>
      </w:r>
    </w:p>
    <w:p>
      <w:pPr>
        <w:pStyle w:val="3"/>
        <w:keepNext/>
        <w:keepLines/>
        <w:pageBreakBefore w:val="0"/>
        <w:widowControl w:val="0"/>
        <w:kinsoku/>
        <w:wordWrap/>
        <w:overflowPunct/>
        <w:topLinePunct w:val="0"/>
        <w:autoSpaceDE w:val="0"/>
        <w:autoSpaceDN w:val="0"/>
        <w:bidi w:val="0"/>
        <w:adjustRightInd/>
        <w:snapToGrid/>
        <w:spacing w:before="157" w:beforeLines="50" w:after="157" w:afterLines="50" w:line="240" w:lineRule="auto"/>
        <w:ind w:firstLine="562" w:firstLineChars="200"/>
        <w:textAlignment w:val="auto"/>
        <w:rPr>
          <w:rFonts w:hint="eastAsia" w:ascii="黑体" w:hAnsi="黑体" w:eastAsia="黑体" w:cs="黑体"/>
          <w:sz w:val="28"/>
          <w:szCs w:val="28"/>
        </w:rPr>
      </w:pPr>
      <w:bookmarkStart w:id="77" w:name="_Toc11621"/>
      <w:bookmarkStart w:id="78" w:name="_Toc26934"/>
      <w:bookmarkStart w:id="79" w:name="_Toc272109855"/>
      <w:bookmarkStart w:id="80" w:name="_Toc256000016"/>
      <w:bookmarkStart w:id="81" w:name="_Toc256000038"/>
      <w:r>
        <w:rPr>
          <w:rFonts w:hint="eastAsia" w:ascii="黑体" w:hAnsi="黑体" w:eastAsia="黑体" w:cs="黑体"/>
          <w:sz w:val="28"/>
          <w:szCs w:val="28"/>
        </w:rPr>
        <w:t>（二）政府部门财务状况分析</w:t>
      </w:r>
      <w:bookmarkEnd w:id="77"/>
      <w:bookmarkEnd w:id="78"/>
      <w:bookmarkEnd w:id="79"/>
      <w:bookmarkEnd w:id="80"/>
      <w:bookmarkEnd w:id="81"/>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textAlignment w:val="auto"/>
        <w:rPr>
          <w:rFonts w:hint="eastAsia" w:ascii="黑体" w:hAnsi="黑体" w:eastAsia="黑体" w:cs="黑体"/>
          <w:b/>
          <w:bCs/>
          <w:sz w:val="24"/>
          <w:szCs w:val="24"/>
        </w:rPr>
      </w:pPr>
      <w:bookmarkStart w:id="82" w:name="a017"/>
      <w:r>
        <w:rPr>
          <w:rFonts w:hint="eastAsia" w:ascii="黑体" w:hAnsi="黑体" w:eastAsia="黑体" w:cs="黑体"/>
          <w:b/>
          <w:bCs/>
          <w:sz w:val="24"/>
          <w:szCs w:val="24"/>
        </w:rPr>
        <w:t>1.资产结构和重要资产变动分析</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（1）资产结构分析</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2023年末，我单位资产总额47.13万元，其中，流动资产0.48万元，非流动资产46.65万元。</w:t>
      </w:r>
    </w:p>
    <w:p>
      <w:pPr>
        <w:bidi w:val="0"/>
      </w:pPr>
      <w:r>
        <w:t xml:space="preserve"> </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4714875" cy="2667635"/>
            <wp:effectExtent l="0" t="0" r="9525" b="1841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4714875" cy="266763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240" w:after="240" w:line="46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资产情况分析图</w:t>
      </w:r>
    </w:p>
    <w:p>
      <w:pPr>
        <w:keepNext w:val="0"/>
        <w:keepLines w:val="0"/>
        <w:pageBreakBefore w:val="0"/>
        <w:widowControl/>
        <w:pBdr>
          <w:left w:val="none" w:color="auto" w:sz="0" w:space="30"/>
        </w:pBdr>
        <w:kinsoku/>
        <w:wordWrap/>
        <w:overflowPunct/>
        <w:topLinePunct w:val="0"/>
        <w:autoSpaceDE/>
        <w:autoSpaceDN/>
        <w:bidi w:val="0"/>
        <w:adjustRightInd/>
        <w:snapToGrid/>
        <w:spacing w:before="240" w:after="240" w:line="46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流动资产分析：</w:t>
      </w:r>
      <w:r>
        <w:rPr>
          <w:rFonts w:hint="eastAsia" w:ascii="宋体" w:hAnsi="宋体" w:eastAsia="宋体" w:cs="宋体"/>
          <w:sz w:val="24"/>
          <w:szCs w:val="24"/>
        </w:rPr>
        <w:t>流动资产中，货币资金较2022年降幅较大的原因为2022年的养老、医疗保险等个人部分已缴纳，导致2023年货币资金减少。</w:t>
      </w:r>
    </w:p>
    <w:p>
      <w:pPr>
        <w:keepNext w:val="0"/>
        <w:keepLines w:val="0"/>
        <w:pageBreakBefore w:val="0"/>
        <w:widowControl/>
        <w:kinsoku/>
        <w:wordWrap/>
        <w:overflowPunct/>
        <w:topLinePunct w:val="0"/>
        <w:autoSpaceDE/>
        <w:autoSpaceDN/>
        <w:bidi w:val="0"/>
        <w:adjustRightInd/>
        <w:snapToGrid/>
        <w:spacing w:before="240" w:after="240" w:line="4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我单位流动资产主要组成部分为</w:t>
      </w:r>
      <w:r>
        <w:rPr>
          <w:rFonts w:hint="eastAsia" w:ascii="宋体" w:hAnsi="宋体" w:eastAsia="宋体" w:cs="宋体"/>
          <w:sz w:val="24"/>
          <w:szCs w:val="24"/>
          <w:u w:val="single"/>
        </w:rPr>
        <w:t>货币资金</w:t>
      </w:r>
      <w:r>
        <w:rPr>
          <w:rFonts w:hint="eastAsia" w:ascii="宋体" w:hAnsi="宋体" w:eastAsia="宋体" w:cs="宋体"/>
          <w:sz w:val="24"/>
          <w:szCs w:val="24"/>
        </w:rPr>
        <w:t>。</w:t>
      </w:r>
    </w:p>
    <w:p>
      <w:pPr>
        <w:keepNext w:val="0"/>
        <w:keepLines w:val="0"/>
        <w:pageBreakBefore w:val="0"/>
        <w:widowControl/>
        <w:pBdr>
          <w:left w:val="none" w:color="auto" w:sz="0" w:space="30"/>
        </w:pBdr>
        <w:kinsoku/>
        <w:wordWrap/>
        <w:overflowPunct/>
        <w:topLinePunct w:val="0"/>
        <w:autoSpaceDE/>
        <w:autoSpaceDN/>
        <w:bidi w:val="0"/>
        <w:adjustRightInd/>
        <w:snapToGrid/>
        <w:spacing w:before="240" w:after="240" w:line="46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 xml:space="preserve">非流动资产分析: </w:t>
      </w:r>
      <w:r>
        <w:rPr>
          <w:rFonts w:hint="eastAsia" w:ascii="宋体" w:hAnsi="宋体" w:eastAsia="宋体" w:cs="宋体"/>
          <w:sz w:val="24"/>
          <w:szCs w:val="24"/>
        </w:rPr>
        <w:t>非流动资产中，2023年医疗保障局购入信息化设备15.84万元，2023年固定资产净值较2022年变动率较高。</w:t>
      </w: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4714875" cy="28575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非流动资产情况分析图</w:t>
      </w:r>
    </w:p>
    <w:p>
      <w:pPr>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由上图可见，我单位非流动资产的主要组成部分为</w:t>
      </w:r>
      <w:r>
        <w:rPr>
          <w:rFonts w:hint="eastAsia" w:ascii="宋体" w:hAnsi="宋体" w:eastAsia="宋体" w:cs="宋体"/>
          <w:sz w:val="24"/>
          <w:szCs w:val="24"/>
          <w:u w:val="single"/>
        </w:rPr>
        <w:t>固定资产</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460" w:lineRule="exact"/>
        <w:ind w:lef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 xml:space="preserve">其他资产分析: </w:t>
      </w:r>
      <w:r>
        <w:rPr>
          <w:rFonts w:hint="eastAsia" w:ascii="宋体" w:hAnsi="宋体" w:eastAsia="宋体" w:cs="宋体"/>
          <w:sz w:val="24"/>
          <w:szCs w:val="24"/>
        </w:rPr>
        <w:t>其他资产中，</w:t>
      </w:r>
      <w:r>
        <w:rPr>
          <w:rFonts w:hint="eastAsia" w:ascii="宋体" w:hAnsi="宋体" w:eastAsia="宋体" w:cs="宋体"/>
          <w:b/>
          <w:bCs/>
          <w:sz w:val="24"/>
          <w:szCs w:val="24"/>
        </w:rPr>
        <w:t>其他类无形资产（原值）/无形资产等于100%，医疗保险服务中心其它类无形资产为应用类软件，无其它无形资产。</w:t>
      </w:r>
    </w:p>
    <w:p>
      <w:pPr>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（2）重要资产上下年度变动分析</w:t>
      </w:r>
    </w:p>
    <w:p>
      <w:pPr>
        <w:keepNext w:val="0"/>
        <w:keepLines w:val="0"/>
        <w:pageBreakBefore w:val="0"/>
        <w:widowControl/>
        <w:pBdr>
          <w:left w:val="none" w:color="auto" w:sz="0" w:space="30"/>
        </w:pBdr>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与2022年年末相比，货币资金较2022年降幅较大的原因为2022年的养老、医疗保险等个人部分已缴纳，导致2023年货币资金减少。2023年医疗保障局购入信息化设备15.84万元，2023年固定资产净值较2022年变动率较高。</w:t>
      </w:r>
    </w:p>
    <w:p>
      <w:pPr>
        <w:widowControl/>
        <w:autoSpaceDE/>
        <w:autoSpaceDN/>
        <w:spacing w:before="240" w:after="240"/>
        <w:rPr>
          <w:rFonts w:ascii="Times New Roman" w:hAnsi="Times New Roman" w:eastAsia="Times New Roman" w:cs="Times New Roman"/>
          <w:sz w:val="24"/>
          <w:szCs w:val="24"/>
        </w:rPr>
      </w:pP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4714875" cy="28575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重要资产变动分析图</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（资产总额较上年增减变动幅度超</w:t>
      </w:r>
      <w:r>
        <w:rPr>
          <w:rFonts w:hint="eastAsia" w:ascii="宋体" w:hAnsi="宋体" w:eastAsia="宋体" w:cs="宋体"/>
          <w:b/>
          <w:bCs/>
          <w:sz w:val="24"/>
          <w:szCs w:val="24"/>
        </w:rPr>
        <w:t>20%</w:t>
      </w:r>
      <w:r>
        <w:rPr>
          <w:rFonts w:hint="eastAsia" w:ascii="宋体" w:hAnsi="宋体" w:eastAsia="宋体" w:cs="宋体"/>
          <w:sz w:val="24"/>
          <w:szCs w:val="24"/>
        </w:rPr>
        <w:t>，需着重说明具体变动原因；利用柱状图分析本年度</w:t>
      </w:r>
      <w:r>
        <w:rPr>
          <w:rFonts w:hint="eastAsia" w:ascii="宋体" w:hAnsi="宋体" w:eastAsia="宋体" w:cs="宋体"/>
          <w:b/>
          <w:bCs/>
          <w:sz w:val="24"/>
          <w:szCs w:val="24"/>
        </w:rPr>
        <w:t>货币资金、长期投资、固定资产、在建工程、公共基础设施、政府储备物资、保障性住房</w:t>
      </w:r>
      <w:r>
        <w:rPr>
          <w:rFonts w:hint="eastAsia" w:ascii="宋体" w:hAnsi="宋体" w:eastAsia="宋体" w:cs="宋体"/>
          <w:sz w:val="24"/>
          <w:szCs w:val="24"/>
        </w:rPr>
        <w:t>等重要资产的结构特点和变化情况，重点说明变动原因并预计下一年度的变动趋势。）</w:t>
      </w:r>
    </w:p>
    <w:p>
      <w:pPr>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2.负债结构和重点负债变动分析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（1）负债结构分析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2023年末，我单位负债总额0.24万元。</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4714875" cy="28575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负债情况分析图</w:t>
      </w:r>
    </w:p>
    <w:p>
      <w:pPr>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ascii="Times New Roman" w:hAnsi="Times New Roman" w:eastAsia="Times New Roman" w:cs="Times New Roman"/>
          <w:sz w:val="24"/>
          <w:szCs w:val="24"/>
        </w:rPr>
      </w:pPr>
      <w:r>
        <w:rPr>
          <w:rFonts w:ascii="宋体" w:hAnsi="宋体" w:eastAsia="宋体" w:cs="宋体"/>
          <w:b/>
          <w:bCs/>
          <w:sz w:val="24"/>
          <w:szCs w:val="24"/>
        </w:rPr>
        <w:t>流动负债分析：</w:t>
      </w:r>
      <w:r>
        <w:rPr>
          <w:rFonts w:ascii="宋体" w:hAnsi="宋体" w:eastAsia="宋体" w:cs="宋体"/>
          <w:sz w:val="24"/>
          <w:szCs w:val="24"/>
        </w:rPr>
        <w:t>流动负债中，</w:t>
      </w:r>
      <w:r>
        <w:rPr>
          <w:rFonts w:hint="eastAsia" w:ascii="宋体" w:hAnsi="宋体" w:eastAsia="宋体" w:cs="宋体"/>
          <w:sz w:val="24"/>
          <w:szCs w:val="24"/>
        </w:rPr>
        <w:t>其它应交税费0.08万元、应付职工薪酬0.13万元、其它应付款0.03万元。</w:t>
      </w:r>
      <w:r>
        <w:rPr>
          <w:rFonts w:ascii="宋体" w:hAnsi="宋体" w:eastAsia="宋体" w:cs="宋体"/>
          <w:sz w:val="24"/>
          <w:szCs w:val="24"/>
        </w:rPr>
        <w:t>与</w:t>
      </w:r>
      <w:r>
        <w:rPr>
          <w:rFonts w:ascii="Times New Roman" w:hAnsi="Times New Roman" w:eastAsia="Times New Roman" w:cs="Times New Roman"/>
          <w:sz w:val="24"/>
          <w:szCs w:val="24"/>
        </w:rPr>
        <w:t>2022</w:t>
      </w:r>
      <w:r>
        <w:rPr>
          <w:rFonts w:ascii="宋体" w:hAnsi="宋体" w:eastAsia="宋体" w:cs="宋体"/>
          <w:sz w:val="24"/>
          <w:szCs w:val="24"/>
        </w:rPr>
        <w:t>年年末相比，</w:t>
      </w:r>
      <w:r>
        <w:rPr>
          <w:rFonts w:hint="eastAsia" w:ascii="宋体" w:hAnsi="宋体" w:eastAsia="宋体" w:cs="宋体"/>
          <w:sz w:val="24"/>
          <w:szCs w:val="24"/>
        </w:rPr>
        <w:t>应付职工薪酬较2022年降幅较大的原因为2022年的养老、医疗保险等个人部分已缴纳，导致2023年应付职工薪酬余额减少。</w:t>
      </w: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4714875" cy="28575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流动负债情况分析图</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Times New Roman" w:eastAsiaTheme="minorEastAsia"/>
          <w:sz w:val="24"/>
          <w:szCs w:val="24"/>
        </w:rPr>
      </w:pPr>
      <w:r>
        <w:rPr>
          <w:rFonts w:ascii="宋体" w:hAnsi="宋体" w:eastAsia="宋体" w:cs="宋体"/>
          <w:sz w:val="24"/>
          <w:szCs w:val="24"/>
        </w:rPr>
        <w:t>由上图可见，我单位流动负债主要构成部分为</w:t>
      </w:r>
      <w:r>
        <w:rPr>
          <w:rFonts w:hint="eastAsia" w:ascii="宋体" w:hAnsi="宋体" w:eastAsia="宋体" w:cs="宋体"/>
          <w:b/>
          <w:bCs/>
          <w:sz w:val="24"/>
          <w:szCs w:val="24"/>
          <w:u w:val="single"/>
        </w:rPr>
        <w:t>应付职工薪酬。</w:t>
      </w:r>
    </w:p>
    <w:p>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Times New Roman" w:hAnsi="Times New Roman" w:eastAsia="Times New Roman" w:cs="Times New Roman"/>
          <w:sz w:val="24"/>
          <w:szCs w:val="24"/>
        </w:rPr>
      </w:pPr>
      <w:r>
        <w:rPr>
          <w:rFonts w:ascii="宋体" w:hAnsi="宋体" w:eastAsia="宋体" w:cs="宋体"/>
          <w:b/>
          <w:bCs/>
          <w:sz w:val="24"/>
          <w:szCs w:val="24"/>
        </w:rPr>
        <w:t>非流动负债分析：</w:t>
      </w:r>
      <w:r>
        <w:rPr>
          <w:rFonts w:ascii="宋体" w:hAnsi="宋体" w:eastAsia="宋体" w:cs="宋体"/>
          <w:sz w:val="24"/>
          <w:szCs w:val="24"/>
        </w:rPr>
        <w:t>我单位非流动负债主要为</w:t>
      </w:r>
      <w:r>
        <w:rPr>
          <w:rFonts w:ascii="Times New Roman" w:hAnsi="Times New Roman" w:eastAsia="Times New Roman" w:cs="Times New Roman"/>
          <w:sz w:val="24"/>
          <w:szCs w:val="24"/>
          <w:u w:val="single"/>
        </w:rPr>
        <w:t xml:space="preserve"> </w:t>
      </w:r>
      <w:r>
        <w:rPr>
          <w:rFonts w:hint="eastAsia" w:ascii="宋体" w:hAnsi="宋体" w:eastAsia="宋体" w:cs="宋体"/>
          <w:sz w:val="24"/>
          <w:szCs w:val="24"/>
          <w:u w:val="single"/>
        </w:rPr>
        <w:t>无</w:t>
      </w:r>
      <w:r>
        <w:rPr>
          <w:rFonts w:hint="eastAsia" w:ascii="宋体" w:hAnsi="宋体" w:eastAsia="宋体" w:cs="宋体"/>
          <w:sz w:val="24"/>
          <w:szCs w:val="24"/>
        </w:rPr>
        <w:t>。</w:t>
      </w:r>
      <w:r>
        <w:rPr>
          <w:rFonts w:ascii="Times New Roman" w:hAnsi="Times New Roman" w:eastAsia="Times New Roman" w:cs="Times New Roman"/>
          <w:sz w:val="24"/>
          <w:szCs w:val="24"/>
        </w:rPr>
        <w:t>(</w:t>
      </w:r>
      <w:r>
        <w:rPr>
          <w:rFonts w:ascii="宋体" w:hAnsi="宋体" w:eastAsia="宋体" w:cs="宋体"/>
          <w:sz w:val="24"/>
          <w:szCs w:val="24"/>
        </w:rPr>
        <w:t>长期借款应按债权单位分析借款用途、还款期限。债权人应为金融机构，如为非金融机构，需填写说明</w:t>
      </w:r>
      <w:r>
        <w:rPr>
          <w:rFonts w:ascii="Times New Roman" w:hAnsi="Times New Roman" w:eastAsia="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hint="eastAsia" w:ascii="Times New Roman" w:hAnsi="Times New Roman" w:eastAsia="Times New Roman" w:cs="Times New Roman"/>
          <w:sz w:val="24"/>
          <w:szCs w:val="24"/>
        </w:rPr>
      </w:pPr>
      <w:r>
        <w:rPr>
          <w:rFonts w:ascii="宋体" w:hAnsi="宋体" w:eastAsia="宋体" w:cs="宋体"/>
          <w:b/>
          <w:bCs/>
          <w:sz w:val="24"/>
          <w:szCs w:val="24"/>
        </w:rPr>
        <w:t>其他负债分析</w:t>
      </w:r>
      <w:r>
        <w:rPr>
          <w:rFonts w:ascii="Times New Roman" w:hAnsi="Times New Roman" w:eastAsia="Times New Roman" w:cs="Times New Roman"/>
          <w:b/>
          <w:bCs/>
          <w:sz w:val="24"/>
          <w:szCs w:val="24"/>
        </w:rPr>
        <w:t xml:space="preserve">: </w:t>
      </w:r>
      <w:r>
        <w:rPr>
          <w:rFonts w:ascii="宋体" w:hAnsi="宋体" w:eastAsia="宋体" w:cs="宋体"/>
          <w:sz w:val="24"/>
          <w:szCs w:val="24"/>
        </w:rPr>
        <w:t>其他负债中</w:t>
      </w:r>
      <w:r>
        <w:rPr>
          <w:rFonts w:hint="eastAsia" w:ascii="宋体" w:hAnsi="宋体" w:eastAsia="宋体" w:cs="宋体"/>
          <w:sz w:val="24"/>
          <w:szCs w:val="24"/>
        </w:rPr>
        <w:t>，无。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宋体" w:hAnsi="宋体" w:eastAsia="宋体" w:cs="宋体"/>
          <w:sz w:val="24"/>
          <w:szCs w:val="24"/>
        </w:rPr>
        <w:t>其他资产</w:t>
      </w:r>
      <w:r>
        <w:rPr>
          <w:rFonts w:ascii="Times New Roman" w:hAnsi="Times New Roman" w:eastAsia="Times New Roman" w:cs="Times New Roman"/>
          <w:sz w:val="24"/>
          <w:szCs w:val="24"/>
        </w:rPr>
        <w:t>/</w:t>
      </w:r>
      <w:r>
        <w:rPr>
          <w:rFonts w:ascii="宋体" w:hAnsi="宋体" w:eastAsia="宋体" w:cs="宋体"/>
          <w:sz w:val="24"/>
          <w:szCs w:val="24"/>
        </w:rPr>
        <w:t>总负债若高于</w:t>
      </w:r>
      <w:r>
        <w:rPr>
          <w:rFonts w:ascii="Times New Roman" w:hAnsi="Times New Roman" w:eastAsia="Times New Roman" w:cs="Times New Roman"/>
          <w:b/>
          <w:bCs/>
          <w:sz w:val="24"/>
          <w:szCs w:val="24"/>
        </w:rPr>
        <w:t>10%</w:t>
      </w:r>
      <w:r>
        <w:rPr>
          <w:rFonts w:ascii="宋体" w:hAnsi="宋体" w:eastAsia="宋体" w:cs="宋体"/>
          <w:sz w:val="24"/>
          <w:szCs w:val="24"/>
        </w:rPr>
        <w:t>，需着重说明其他负债构成及形成原因。</w:t>
      </w:r>
      <w:r>
        <w:rPr>
          <w:rFonts w:ascii="Times New Roman" w:hAnsi="Times New Roman" w:eastAsia="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）重点负债上下年度变动分析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imes New Roman" w:cs="Times New Roman"/>
          <w:sz w:val="24"/>
          <w:szCs w:val="24"/>
        </w:rPr>
      </w:pPr>
      <w:r>
        <w:rPr>
          <w:rFonts w:ascii="宋体" w:hAnsi="宋体" w:eastAsia="宋体" w:cs="宋体"/>
          <w:sz w:val="24"/>
          <w:szCs w:val="24"/>
        </w:rPr>
        <w:t>与</w:t>
      </w:r>
      <w:r>
        <w:rPr>
          <w:rFonts w:ascii="Times New Roman" w:hAnsi="Times New Roman" w:eastAsia="Times New Roman" w:cs="Times New Roman"/>
          <w:sz w:val="24"/>
          <w:szCs w:val="24"/>
        </w:rPr>
        <w:t>2022</w:t>
      </w:r>
      <w:r>
        <w:rPr>
          <w:rFonts w:ascii="宋体" w:hAnsi="宋体" w:eastAsia="宋体" w:cs="宋体"/>
          <w:sz w:val="24"/>
          <w:szCs w:val="24"/>
        </w:rPr>
        <w:t>年末相比，与</w:t>
      </w:r>
      <w:r>
        <w:rPr>
          <w:rFonts w:ascii="Times New Roman" w:hAnsi="Times New Roman" w:eastAsia="Times New Roman" w:cs="Times New Roman"/>
          <w:sz w:val="24"/>
          <w:szCs w:val="24"/>
        </w:rPr>
        <w:t>2022</w:t>
      </w:r>
      <w:r>
        <w:rPr>
          <w:rFonts w:ascii="宋体" w:hAnsi="宋体" w:eastAsia="宋体" w:cs="宋体"/>
          <w:sz w:val="24"/>
          <w:szCs w:val="24"/>
        </w:rPr>
        <w:t>年年末相比，</w:t>
      </w:r>
      <w:r>
        <w:rPr>
          <w:rFonts w:hint="eastAsia" w:ascii="宋体" w:hAnsi="宋体" w:eastAsia="宋体" w:cs="宋体"/>
          <w:sz w:val="24"/>
          <w:szCs w:val="24"/>
        </w:rPr>
        <w:t>应付职工薪酬较2022年降幅较大的原因为2022年的养老、医疗保险等个人部分已缴纳，导致2023年应付职工薪酬余额减少。</w:t>
      </w:r>
    </w:p>
    <w:p>
      <w:pPr>
        <w:widowControl/>
        <w:autoSpaceDE/>
        <w:autoSpaceDN/>
        <w:spacing w:before="240" w:after="240"/>
        <w:rPr>
          <w:rFonts w:hint="eastAsia" w:ascii="Times New Roman" w:hAnsi="Times New Roman" w:eastAsia="Times New Roman" w:cs="Times New Roman"/>
          <w:sz w:val="24"/>
          <w:szCs w:val="24"/>
        </w:rPr>
      </w:pP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drawing>
          <wp:inline distT="0" distB="0" distL="0" distR="0">
            <wp:extent cx="4714875" cy="28575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1"/>
                    <a:stretch>
                      <a:fillRect/>
                    </a:stretch>
                  </pic:blipFill>
                  <pic:spPr>
                    <a:xfrm>
                      <a:off x="0" y="0"/>
                      <a:ext cx="4714875" cy="2857500"/>
                    </a:xfrm>
                    <a:prstGeom prst="rect">
                      <a:avLst/>
                    </a:prstGeom>
                  </pic:spPr>
                </pic:pic>
              </a:graphicData>
            </a:graphic>
          </wp:inline>
        </w:drawing>
      </w:r>
      <w:r>
        <w:rPr>
          <w:rFonts w:ascii="Times New Roman" w:hAnsi="Times New Roman" w:eastAsia="Times New Roman" w:cs="Times New Roman"/>
          <w:b/>
          <w:bCs/>
          <w:sz w:val="24"/>
          <w:szCs w:val="24"/>
        </w:rPr>
        <w:t xml:space="preserve"> </w:t>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重要负债变动分析图</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ascii="Times New Roman" w:hAnsi="Times New Roman" w:eastAsia="Times New Roman" w:cs="Times New Roman"/>
          <w:sz w:val="24"/>
          <w:szCs w:val="24"/>
        </w:rPr>
      </w:pPr>
      <w:r>
        <w:rPr>
          <w:rFonts w:ascii="宋体" w:hAnsi="宋体" w:eastAsia="宋体" w:cs="宋体"/>
          <w:sz w:val="24"/>
          <w:szCs w:val="24"/>
        </w:rPr>
        <w:t>（负债总额较上年增减变动幅度超</w:t>
      </w:r>
      <w:r>
        <w:rPr>
          <w:rFonts w:ascii="Times New Roman" w:hAnsi="Times New Roman" w:eastAsia="Times New Roman" w:cs="Times New Roman"/>
          <w:b/>
          <w:bCs/>
          <w:sz w:val="24"/>
          <w:szCs w:val="24"/>
        </w:rPr>
        <w:t>20%</w:t>
      </w:r>
      <w:r>
        <w:rPr>
          <w:rFonts w:ascii="宋体" w:hAnsi="宋体" w:eastAsia="宋体" w:cs="宋体"/>
          <w:sz w:val="24"/>
          <w:szCs w:val="24"/>
        </w:rPr>
        <w:t>，需着重说明具体变动原因；利用柱状图分析本年度重点负债的变动情况，重点说明变动原因并预计下一年度的变动趋势。）</w:t>
      </w:r>
    </w:p>
    <w:p>
      <w:pPr>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黑体" w:hAnsi="黑体" w:eastAsia="黑体" w:cs="黑体"/>
          <w:b/>
          <w:bCs/>
          <w:sz w:val="24"/>
          <w:szCs w:val="24"/>
        </w:rPr>
      </w:pPr>
      <w:r>
        <w:rPr>
          <w:rFonts w:hint="eastAsia" w:ascii="黑体" w:hAnsi="黑体" w:eastAsia="黑体" w:cs="黑体"/>
          <w:b/>
          <w:bCs/>
          <w:sz w:val="24"/>
          <w:szCs w:val="24"/>
        </w:rPr>
        <w:t>3.整体财务状况分析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2023</w:t>
      </w:r>
      <w:r>
        <w:rPr>
          <w:rFonts w:ascii="宋体" w:hAnsi="宋体" w:eastAsia="宋体" w:cs="宋体"/>
          <w:sz w:val="24"/>
          <w:szCs w:val="24"/>
        </w:rPr>
        <w:t>年末，我单位资产负债率为</w:t>
      </w:r>
      <w:r>
        <w:rPr>
          <w:rFonts w:ascii="Times New Roman" w:hAnsi="Times New Roman" w:eastAsia="Times New Roman" w:cs="Times New Roman"/>
          <w:sz w:val="24"/>
          <w:szCs w:val="24"/>
        </w:rPr>
        <w:t>0.51%</w:t>
      </w:r>
      <w:r>
        <w:rPr>
          <w:rFonts w:ascii="宋体" w:hAnsi="宋体" w:eastAsia="宋体" w:cs="宋体"/>
          <w:sz w:val="24"/>
          <w:szCs w:val="24"/>
        </w:rPr>
        <w:t>，现金比率</w:t>
      </w:r>
      <w:r>
        <w:rPr>
          <w:rFonts w:ascii="Times New Roman" w:hAnsi="Times New Roman" w:eastAsia="Times New Roman" w:cs="Times New Roman"/>
          <w:sz w:val="24"/>
          <w:szCs w:val="24"/>
        </w:rPr>
        <w:t>200.00%</w:t>
      </w:r>
      <w:r>
        <w:rPr>
          <w:rFonts w:ascii="宋体" w:hAnsi="宋体" w:eastAsia="宋体" w:cs="宋体"/>
          <w:sz w:val="24"/>
          <w:szCs w:val="24"/>
        </w:rPr>
        <w:t>，</w:t>
      </w:r>
      <w:r>
        <w:rPr>
          <w:rFonts w:ascii="Times New Roman" w:hAnsi="Times New Roman" w:eastAsia="Times New Roman" w:cs="Times New Roman"/>
          <w:sz w:val="24"/>
          <w:szCs w:val="24"/>
        </w:rPr>
        <w:t xml:space="preserve"> </w:t>
      </w:r>
      <w:r>
        <w:rPr>
          <w:rFonts w:ascii="宋体" w:hAnsi="宋体" w:eastAsia="宋体" w:cs="宋体"/>
          <w:sz w:val="24"/>
          <w:szCs w:val="24"/>
        </w:rPr>
        <w:t>流动比率</w:t>
      </w:r>
      <w:r>
        <w:rPr>
          <w:rFonts w:ascii="Times New Roman" w:hAnsi="Times New Roman" w:eastAsia="Times New Roman" w:cs="Times New Roman"/>
          <w:sz w:val="24"/>
          <w:szCs w:val="24"/>
        </w:rPr>
        <w:t>200.00%</w:t>
      </w:r>
      <w:r>
        <w:rPr>
          <w:rFonts w:ascii="宋体" w:hAnsi="宋体" w:eastAsia="宋体" w:cs="宋体"/>
          <w:sz w:val="24"/>
          <w:szCs w:val="24"/>
        </w:rPr>
        <w:t>。以上指标均体现我单位偿债能力</w:t>
      </w:r>
      <w:r>
        <w:rPr>
          <w:rFonts w:hint="eastAsia" w:ascii="宋体" w:hAnsi="宋体" w:eastAsia="宋体" w:cs="宋体"/>
          <w:sz w:val="24"/>
          <w:szCs w:val="24"/>
          <w:u w:val="single"/>
        </w:rPr>
        <w:t>良好</w:t>
      </w:r>
      <w:r>
        <w:rPr>
          <w:rFonts w:hint="eastAsia" w:ascii="宋体" w:hAnsi="宋体" w:eastAsia="宋体" w:cs="宋体"/>
          <w:sz w:val="24"/>
          <w:szCs w:val="24"/>
        </w:rPr>
        <w:t>。</w:t>
      </w:r>
      <w:r>
        <w:rPr>
          <w:rFonts w:ascii="宋体" w:hAnsi="宋体" w:eastAsia="宋体" w:cs="宋体"/>
          <w:sz w:val="24"/>
          <w:szCs w:val="24"/>
        </w:rPr>
        <w:t>如图所示：</w:t>
      </w:r>
    </w:p>
    <w:p>
      <w:pPr>
        <w:widowControl/>
        <w:autoSpaceDE/>
        <w:autoSpaceDN/>
        <w:spacing w:before="240" w:after="240"/>
        <w:jc w:val="center"/>
        <w:rPr>
          <w:rFonts w:hint="eastAsia" w:ascii="Times New Roman" w:hAnsi="Times New Roman" w:cs="Times New Roman" w:eastAsiaTheme="minorEastAsia"/>
          <w:sz w:val="24"/>
          <w:szCs w:val="24"/>
        </w:rPr>
      </w:pPr>
      <w:r>
        <w:rPr>
          <w:rFonts w:ascii="Times New Roman" w:hAnsi="Times New Roman" w:eastAsia="Times New Roman" w:cs="Times New Roman"/>
          <w:sz w:val="24"/>
          <w:szCs w:val="24"/>
        </w:rPr>
        <w:drawing>
          <wp:inline distT="0" distB="0" distL="0" distR="0">
            <wp:extent cx="4714875" cy="28575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4714875" cy="2857500"/>
                    </a:xfrm>
                    <a:prstGeom prst="rect">
                      <a:avLst/>
                    </a:prstGeom>
                  </pic:spPr>
                </pic:pic>
              </a:graphicData>
            </a:graphic>
          </wp:inline>
        </w:drawing>
      </w:r>
    </w:p>
    <w:bookmarkEnd w:id="82"/>
    <w:p>
      <w:pPr>
        <w:pStyle w:val="3"/>
        <w:keepNext/>
        <w:keepLines/>
        <w:pageBreakBefore w:val="0"/>
        <w:widowControl w:val="0"/>
        <w:kinsoku/>
        <w:wordWrap/>
        <w:overflowPunct/>
        <w:topLinePunct w:val="0"/>
        <w:autoSpaceDE w:val="0"/>
        <w:autoSpaceDN w:val="0"/>
        <w:bidi w:val="0"/>
        <w:adjustRightInd/>
        <w:snapToGrid/>
        <w:spacing w:before="157" w:beforeLines="50" w:after="157" w:afterLines="50" w:line="240" w:lineRule="auto"/>
        <w:ind w:firstLine="602" w:firstLineChars="200"/>
        <w:jc w:val="both"/>
        <w:textAlignment w:val="auto"/>
        <w:rPr>
          <w:rFonts w:hint="eastAsia" w:ascii="黑体" w:hAnsi="黑体" w:eastAsia="黑体" w:cs="黑体"/>
          <w:b/>
          <w:bCs/>
          <w:sz w:val="30"/>
          <w:szCs w:val="30"/>
        </w:rPr>
      </w:pPr>
      <w:bookmarkStart w:id="83" w:name="_Toc256000039"/>
      <w:bookmarkStart w:id="84" w:name="_Toc1357648522"/>
      <w:bookmarkStart w:id="85" w:name="_Toc6170"/>
      <w:bookmarkStart w:id="86" w:name="_Toc256000017"/>
      <w:bookmarkStart w:id="87" w:name="_Toc8405"/>
      <w:r>
        <w:rPr>
          <w:rFonts w:hint="eastAsia" w:ascii="黑体" w:hAnsi="黑体" w:eastAsia="黑体" w:cs="黑体"/>
          <w:b/>
          <w:bCs/>
          <w:sz w:val="30"/>
          <w:szCs w:val="30"/>
          <w:lang w:val="en-US" w:eastAsia="zh-CN"/>
        </w:rPr>
        <w:t>三、</w:t>
      </w:r>
      <w:r>
        <w:rPr>
          <w:rFonts w:hint="eastAsia" w:ascii="黑体" w:hAnsi="黑体" w:eastAsia="黑体" w:cs="黑体"/>
          <w:b/>
          <w:bCs/>
          <w:sz w:val="30"/>
          <w:szCs w:val="30"/>
        </w:rPr>
        <w:t>政府部门运行情况分析</w:t>
      </w:r>
      <w:bookmarkEnd w:id="83"/>
      <w:bookmarkEnd w:id="84"/>
      <w:bookmarkEnd w:id="85"/>
      <w:bookmarkEnd w:id="86"/>
      <w:bookmarkEnd w:id="87"/>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ascii="Times New Roman" w:hAnsi="Times New Roman" w:eastAsia="Times New Roman" w:cs="Times New Roman"/>
          <w:sz w:val="24"/>
          <w:szCs w:val="24"/>
        </w:rPr>
      </w:pPr>
      <w:bookmarkStart w:id="88" w:name="a018"/>
      <w:r>
        <w:rPr>
          <w:rFonts w:ascii="Times New Roman" w:hAnsi="Times New Roman" w:eastAsia="Times New Roman" w:cs="Times New Roman"/>
          <w:sz w:val="24"/>
          <w:szCs w:val="24"/>
        </w:rPr>
        <w:t>2023</w:t>
      </w:r>
      <w:r>
        <w:rPr>
          <w:rFonts w:ascii="宋体" w:hAnsi="宋体" w:eastAsia="宋体" w:cs="宋体"/>
          <w:sz w:val="24"/>
          <w:szCs w:val="24"/>
        </w:rPr>
        <w:t>年，我单位总收入为</w:t>
      </w:r>
      <w:r>
        <w:rPr>
          <w:rFonts w:ascii="Times New Roman" w:hAnsi="Times New Roman" w:eastAsia="Times New Roman" w:cs="Times New Roman"/>
          <w:sz w:val="24"/>
          <w:szCs w:val="24"/>
        </w:rPr>
        <w:t>2,419.94</w:t>
      </w:r>
      <w:r>
        <w:rPr>
          <w:rFonts w:ascii="宋体" w:hAnsi="宋体" w:eastAsia="宋体" w:cs="宋体"/>
          <w:sz w:val="24"/>
          <w:szCs w:val="24"/>
        </w:rPr>
        <w:t>万元，总费用为</w:t>
      </w:r>
      <w:r>
        <w:rPr>
          <w:rFonts w:ascii="Times New Roman" w:hAnsi="Times New Roman" w:eastAsia="Times New Roman" w:cs="Times New Roman"/>
          <w:sz w:val="24"/>
          <w:szCs w:val="24"/>
        </w:rPr>
        <w:t>2,412.40</w:t>
      </w:r>
      <w:r>
        <w:rPr>
          <w:rFonts w:ascii="宋体" w:hAnsi="宋体" w:eastAsia="宋体" w:cs="宋体"/>
          <w:sz w:val="24"/>
          <w:szCs w:val="24"/>
        </w:rPr>
        <w:t>万元</w:t>
      </w:r>
      <w:r>
        <w:rPr>
          <w:rFonts w:ascii="Times New Roman" w:hAnsi="Times New Roman" w:eastAsia="Times New Roman" w:cs="Times New Roman"/>
          <w:sz w:val="24"/>
          <w:szCs w:val="24"/>
        </w:rPr>
        <w:t xml:space="preserve"> </w:t>
      </w:r>
      <w:r>
        <w:rPr>
          <w:rFonts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562" w:firstLineChars="200"/>
        <w:jc w:val="both"/>
        <w:textAlignment w:val="auto"/>
        <w:rPr>
          <w:rFonts w:hint="eastAsia" w:ascii="黑体" w:hAnsi="黑体" w:eastAsia="黑体" w:cs="黑体"/>
          <w:sz w:val="28"/>
          <w:szCs w:val="28"/>
        </w:rPr>
      </w:pP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一</w:t>
      </w:r>
      <w:r>
        <w:rPr>
          <w:rFonts w:hint="eastAsia" w:ascii="黑体" w:hAnsi="黑体" w:eastAsia="黑体" w:cs="黑体"/>
          <w:b/>
          <w:bCs/>
          <w:sz w:val="28"/>
          <w:szCs w:val="28"/>
          <w:lang w:eastAsia="zh-CN"/>
        </w:rPr>
        <w:t>）</w:t>
      </w:r>
      <w:r>
        <w:rPr>
          <w:rFonts w:hint="eastAsia" w:ascii="黑体" w:hAnsi="黑体" w:eastAsia="黑体" w:cs="黑体"/>
          <w:b/>
          <w:bCs/>
          <w:sz w:val="28"/>
          <w:szCs w:val="28"/>
        </w:rPr>
        <w:t>收入结构和变动趋势分析</w:t>
      </w:r>
    </w:p>
    <w:p>
      <w:pPr>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1.</w:t>
      </w:r>
      <w:r>
        <w:rPr>
          <w:rFonts w:hint="eastAsia" w:ascii="黑体" w:hAnsi="黑体" w:eastAsia="黑体" w:cs="黑体"/>
          <w:b/>
          <w:bCs/>
          <w:sz w:val="24"/>
          <w:szCs w:val="24"/>
        </w:rPr>
        <w:t>收入结构分析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Times New Roman" w:hAnsi="Times New Roman" w:eastAsia="Times New Roman" w:cs="Times New Roman"/>
          <w:sz w:val="24"/>
          <w:szCs w:val="24"/>
        </w:rPr>
      </w:pPr>
      <w:r>
        <w:rPr>
          <w:rFonts w:ascii="Times New Roman" w:hAnsi="Times New Roman" w:eastAsia="Times New Roman" w:cs="Times New Roman"/>
          <w:sz w:val="24"/>
          <w:szCs w:val="24"/>
        </w:rPr>
        <w:t>2023</w:t>
      </w:r>
      <w:r>
        <w:rPr>
          <w:rFonts w:ascii="宋体" w:hAnsi="宋体" w:eastAsia="宋体" w:cs="宋体"/>
          <w:sz w:val="24"/>
          <w:szCs w:val="24"/>
        </w:rPr>
        <w:t>年，我单位总收入</w:t>
      </w:r>
      <w:r>
        <w:rPr>
          <w:rFonts w:ascii="Times New Roman" w:hAnsi="Times New Roman" w:eastAsia="Times New Roman" w:cs="Times New Roman"/>
          <w:sz w:val="24"/>
          <w:szCs w:val="24"/>
        </w:rPr>
        <w:t>2,419.94</w:t>
      </w:r>
      <w:r>
        <w:rPr>
          <w:rFonts w:ascii="宋体" w:hAnsi="宋体" w:eastAsia="宋体" w:cs="宋体"/>
          <w:sz w:val="24"/>
          <w:szCs w:val="24"/>
        </w:rPr>
        <w:t>万元</w:t>
      </w:r>
      <w:r>
        <w:rPr>
          <w:rFonts w:hint="eastAsia" w:ascii="宋体" w:hAnsi="宋体" w:eastAsia="宋体" w:cs="宋体"/>
          <w:sz w:val="24"/>
          <w:szCs w:val="24"/>
        </w:rPr>
        <w:t>。</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4714875" cy="28575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3"/>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收入情况分析图</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由上图可见，我单位收入主要以</w:t>
      </w:r>
      <w:r>
        <w:rPr>
          <w:rFonts w:hint="eastAsia" w:ascii="宋体" w:hAnsi="宋体" w:eastAsia="宋体" w:cs="宋体"/>
          <w:sz w:val="24"/>
          <w:szCs w:val="24"/>
          <w:u w:val="single"/>
        </w:rPr>
        <w:t>财政拨款收入</w:t>
      </w:r>
      <w:r>
        <w:rPr>
          <w:rFonts w:hint="eastAsia" w:ascii="宋体" w:hAnsi="宋体" w:eastAsia="宋体" w:cs="宋体"/>
          <w:sz w:val="24"/>
          <w:szCs w:val="24"/>
        </w:rPr>
        <w:t>为主，</w:t>
      </w:r>
      <w:r>
        <w:rPr>
          <w:rFonts w:hint="eastAsia" w:ascii="宋体" w:hAnsi="宋体" w:eastAsia="宋体" w:cs="宋体"/>
          <w:sz w:val="24"/>
          <w:szCs w:val="24"/>
          <w:u w:val="single"/>
        </w:rPr>
        <w:t>利息收入</w:t>
      </w:r>
      <w:r>
        <w:rPr>
          <w:rFonts w:hint="eastAsia" w:ascii="宋体" w:hAnsi="宋体" w:eastAsia="宋体" w:cs="宋体"/>
          <w:sz w:val="24"/>
          <w:szCs w:val="24"/>
        </w:rPr>
        <w:t>作为补充。</w:t>
      </w:r>
    </w:p>
    <w:p>
      <w:pPr>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2.</w:t>
      </w:r>
      <w:r>
        <w:rPr>
          <w:rFonts w:hint="eastAsia" w:ascii="黑体" w:hAnsi="黑体" w:eastAsia="黑体" w:cs="黑体"/>
          <w:b/>
          <w:bCs/>
          <w:sz w:val="24"/>
          <w:szCs w:val="24"/>
        </w:rPr>
        <w:t>收入变动趋势分析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与2022年相比，2023年</w:t>
      </w:r>
      <w:r>
        <w:rPr>
          <w:rFonts w:hint="eastAsia" w:ascii="宋体" w:hAnsi="宋体" w:eastAsia="宋体" w:cs="宋体"/>
          <w:b/>
          <w:bCs/>
          <w:sz w:val="24"/>
          <w:szCs w:val="24"/>
        </w:rPr>
        <w:t>财政拨款收入降幅较大，主要原因为2022年拨付以前年度欠拨的医疗救助资金与离休人员医疗费。</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drawing>
          <wp:inline distT="0" distB="0" distL="0" distR="0">
            <wp:extent cx="4714875" cy="28575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4"/>
                    <a:stretch>
                      <a:fillRect/>
                    </a:stretch>
                  </pic:blipFill>
                  <pic:spPr>
                    <a:xfrm>
                      <a:off x="0" y="0"/>
                      <a:ext cx="4714875" cy="2857500"/>
                    </a:xfrm>
                    <a:prstGeom prst="rect">
                      <a:avLst/>
                    </a:prstGeom>
                  </pic:spPr>
                </pic:pic>
              </a:graphicData>
            </a:graphic>
          </wp:inline>
        </w:drawing>
      </w:r>
      <w:r>
        <w:rPr>
          <w:rFonts w:ascii="Times New Roman" w:hAnsi="Times New Roman" w:eastAsia="Times New Roman" w:cs="Times New Roman"/>
          <w:b/>
          <w:bCs/>
          <w:sz w:val="24"/>
          <w:szCs w:val="24"/>
        </w:rPr>
        <w:t xml:space="preserve"> </w:t>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收入变动分析图</w:t>
      </w:r>
      <w:r>
        <w:rPr>
          <w:rFonts w:ascii="Times New Roman" w:hAnsi="Times New Roman" w:eastAsia="Times New Roman" w:cs="Times New Roman"/>
          <w:b/>
          <w:bCs/>
          <w:sz w:val="24"/>
          <w:szCs w:val="24"/>
        </w:rPr>
        <w:t>(</w:t>
      </w:r>
      <w:r>
        <w:rPr>
          <w:rFonts w:ascii="宋体" w:hAnsi="宋体" w:eastAsia="宋体" w:cs="宋体"/>
          <w:b/>
          <w:bCs/>
          <w:sz w:val="24"/>
          <w:szCs w:val="24"/>
        </w:rPr>
        <w:t>按收入主要类别</w:t>
      </w:r>
      <w:r>
        <w:rPr>
          <w:rFonts w:ascii="Times New Roman" w:hAnsi="Times New Roman" w:eastAsia="Times New Roman" w:cs="Times New Roman"/>
          <w:b/>
          <w:bCs/>
          <w:sz w:val="24"/>
          <w:szCs w:val="24"/>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562" w:firstLineChars="200"/>
        <w:jc w:val="both"/>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二</w:t>
      </w:r>
      <w:r>
        <w:rPr>
          <w:rFonts w:hint="eastAsia" w:ascii="黑体" w:hAnsi="黑体" w:eastAsia="黑体" w:cs="黑体"/>
          <w:b/>
          <w:bCs/>
          <w:sz w:val="28"/>
          <w:szCs w:val="28"/>
          <w:lang w:eastAsia="zh-CN"/>
        </w:rPr>
        <w:t>）费用结构分析</w:t>
      </w:r>
    </w:p>
    <w:p>
      <w:pPr>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1.费用结构分析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2023年，我单位总费用2,412.40万元。主要为</w:t>
      </w:r>
      <w:r>
        <w:rPr>
          <w:rFonts w:hint="eastAsia" w:ascii="宋体" w:hAnsi="宋体" w:eastAsia="宋体" w:cs="宋体"/>
          <w:sz w:val="24"/>
          <w:szCs w:val="24"/>
          <w:u w:val="single"/>
        </w:rPr>
        <w:t>业务活动费用</w:t>
      </w:r>
      <w:r>
        <w:rPr>
          <w:rFonts w:hint="eastAsia" w:ascii="宋体" w:hAnsi="宋体" w:eastAsia="宋体" w:cs="宋体"/>
          <w:sz w:val="24"/>
          <w:szCs w:val="24"/>
        </w:rPr>
        <w:t>与</w:t>
      </w:r>
      <w:r>
        <w:rPr>
          <w:rFonts w:hint="eastAsia" w:ascii="宋体" w:hAnsi="宋体" w:eastAsia="宋体" w:cs="宋体"/>
          <w:sz w:val="24"/>
          <w:szCs w:val="24"/>
          <w:u w:val="single"/>
        </w:rPr>
        <w:t>单位管理费用。</w:t>
      </w:r>
    </w:p>
    <w:p>
      <w:pPr>
        <w:widowControl/>
        <w:autoSpaceDE/>
        <w:autoSpaceDN/>
        <w:spacing w:before="240" w:after="240"/>
        <w:rPr>
          <w:rFonts w:hint="eastAsia" w:ascii="宋体" w:hAnsi="宋体" w:eastAsia="宋体" w:cs="宋体"/>
          <w:sz w:val="24"/>
          <w:szCs w:val="24"/>
        </w:rPr>
      </w:pP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drawing>
          <wp:inline distT="0" distB="0" distL="0" distR="0">
            <wp:extent cx="4714875" cy="285750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5"/>
                    <a:stretch>
                      <a:fillRect/>
                    </a:stretch>
                  </pic:blipFill>
                  <pic:spPr>
                    <a:xfrm>
                      <a:off x="0" y="0"/>
                      <a:ext cx="4714875" cy="2857500"/>
                    </a:xfrm>
                    <a:prstGeom prst="rect">
                      <a:avLst/>
                    </a:prstGeom>
                  </pic:spPr>
                </pic:pic>
              </a:graphicData>
            </a:graphic>
          </wp:inline>
        </w:drawing>
      </w:r>
      <w:r>
        <w:rPr>
          <w:rFonts w:ascii="Times New Roman" w:hAnsi="Times New Roman" w:eastAsia="Times New Roman" w:cs="Times New Roman"/>
          <w:b/>
          <w:bCs/>
          <w:sz w:val="24"/>
          <w:szCs w:val="24"/>
        </w:rPr>
        <w:t xml:space="preserve"> </w:t>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费用情况分析图（按支出经济分类）</w:t>
      </w:r>
    </w:p>
    <w:p>
      <w:pPr>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2.费用变动趋势分析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与2022年相比，</w:t>
      </w:r>
      <w:r>
        <w:rPr>
          <w:rFonts w:hint="eastAsia" w:ascii="宋体" w:hAnsi="宋体" w:eastAsia="宋体" w:cs="宋体"/>
          <w:b/>
          <w:bCs/>
          <w:sz w:val="24"/>
          <w:szCs w:val="24"/>
        </w:rPr>
        <w:t>对个人和家庭胡补助费用降幅较大主要原因为2022年拨付以前年度欠拨的医疗救助资金与离休人员医疗费。</w:t>
      </w: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b/>
          <w:bCs/>
          <w:sz w:val="24"/>
          <w:szCs w:val="24"/>
        </w:rPr>
        <w:drawing>
          <wp:inline distT="0" distB="0" distL="0" distR="0">
            <wp:extent cx="4714875" cy="28575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6"/>
                    <a:stretch>
                      <a:fillRect/>
                    </a:stretch>
                  </pic:blipFill>
                  <pic:spPr>
                    <a:xfrm>
                      <a:off x="0" y="0"/>
                      <a:ext cx="4714875" cy="2857500"/>
                    </a:xfrm>
                    <a:prstGeom prst="rect">
                      <a:avLst/>
                    </a:prstGeom>
                  </pic:spPr>
                </pic:pic>
              </a:graphicData>
            </a:graphic>
          </wp:inline>
        </w:drawing>
      </w:r>
      <w:r>
        <w:rPr>
          <w:rFonts w:ascii="Times New Roman" w:hAnsi="Times New Roman" w:eastAsia="Times New Roman" w:cs="Times New Roman"/>
          <w:b/>
          <w:bCs/>
          <w:sz w:val="24"/>
          <w:szCs w:val="24"/>
        </w:rPr>
        <w:t xml:space="preserve"> </w:t>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费用变动分析图</w:t>
      </w:r>
    </w:p>
    <w:p>
      <w:pPr>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黑体" w:hAnsi="黑体" w:eastAsia="黑体" w:cs="黑体"/>
          <w:b/>
          <w:bCs/>
          <w:sz w:val="24"/>
          <w:szCs w:val="24"/>
        </w:rPr>
      </w:pPr>
      <w:r>
        <w:rPr>
          <w:rFonts w:hint="eastAsia" w:ascii="黑体" w:hAnsi="黑体" w:eastAsia="黑体" w:cs="黑体"/>
          <w:b/>
          <w:bCs/>
          <w:sz w:val="24"/>
          <w:szCs w:val="24"/>
        </w:rPr>
        <w:t>3.收入费用比例分析</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2023年，我单位收入费用率为99.69%，经费主要保障</w:t>
      </w:r>
      <w:r>
        <w:rPr>
          <w:rFonts w:hint="eastAsia" w:ascii="宋体" w:hAnsi="宋体" w:eastAsia="宋体" w:cs="宋体"/>
          <w:sz w:val="28"/>
          <w:szCs w:val="28"/>
          <w:u w:val="single"/>
        </w:rPr>
        <w:t>人员经费及日常医疗保障业务开展</w:t>
      </w:r>
      <w:r>
        <w:rPr>
          <w:rFonts w:hint="eastAsia" w:ascii="宋体" w:hAnsi="宋体" w:eastAsia="宋体" w:cs="宋体"/>
          <w:sz w:val="28"/>
          <w:szCs w:val="28"/>
        </w:rPr>
        <w:t>。</w:t>
      </w:r>
      <w:bookmarkEnd w:id="88"/>
    </w:p>
    <w:p>
      <w:pPr>
        <w:pStyle w:val="3"/>
        <w:keepNext/>
        <w:keepLines/>
        <w:pageBreakBefore w:val="0"/>
        <w:widowControl w:val="0"/>
        <w:kinsoku/>
        <w:wordWrap/>
        <w:overflowPunct/>
        <w:topLinePunct w:val="0"/>
        <w:autoSpaceDE w:val="0"/>
        <w:autoSpaceDN w:val="0"/>
        <w:bidi w:val="0"/>
        <w:adjustRightInd/>
        <w:snapToGrid/>
        <w:spacing w:before="251" w:beforeLines="80" w:after="157" w:afterLines="50" w:line="240" w:lineRule="auto"/>
        <w:ind w:firstLine="602" w:firstLineChars="200"/>
        <w:jc w:val="both"/>
        <w:textAlignment w:val="auto"/>
        <w:rPr>
          <w:rFonts w:hint="eastAsia" w:ascii="黑体" w:hAnsi="黑体" w:eastAsia="黑体" w:cs="黑体"/>
          <w:b/>
          <w:bCs/>
          <w:sz w:val="30"/>
          <w:szCs w:val="30"/>
        </w:rPr>
      </w:pPr>
      <w:bookmarkStart w:id="89" w:name="_Toc23567"/>
      <w:bookmarkStart w:id="90" w:name="_Toc10390"/>
      <w:bookmarkStart w:id="91" w:name="_Toc984959879"/>
      <w:bookmarkStart w:id="92" w:name="_Toc256000040"/>
      <w:bookmarkStart w:id="93" w:name="_Toc256000018"/>
      <w:r>
        <w:rPr>
          <w:rFonts w:hint="eastAsia" w:ascii="黑体" w:hAnsi="黑体" w:eastAsia="黑体" w:cs="黑体"/>
          <w:b/>
          <w:bCs/>
          <w:sz w:val="30"/>
          <w:szCs w:val="30"/>
          <w:lang w:val="en-US" w:eastAsia="zh-CN"/>
        </w:rPr>
        <w:t>四、</w:t>
      </w:r>
      <w:r>
        <w:rPr>
          <w:rFonts w:hint="eastAsia" w:ascii="黑体" w:hAnsi="黑体" w:eastAsia="黑体" w:cs="黑体"/>
          <w:b/>
          <w:bCs/>
          <w:sz w:val="30"/>
          <w:szCs w:val="30"/>
        </w:rPr>
        <w:t>政府部门财务管理情况</w:t>
      </w:r>
      <w:bookmarkEnd w:id="89"/>
      <w:bookmarkEnd w:id="90"/>
      <w:bookmarkEnd w:id="91"/>
      <w:bookmarkEnd w:id="92"/>
      <w:bookmarkEnd w:id="93"/>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kern w:val="16"/>
          <w:sz w:val="24"/>
        </w:rPr>
      </w:pPr>
      <w:r>
        <w:rPr>
          <w:rFonts w:hint="eastAsia" w:ascii="宋体" w:hAnsi="宋体" w:eastAsia="宋体" w:cs="宋体"/>
          <w:kern w:val="16"/>
          <w:sz w:val="24"/>
        </w:rPr>
        <w:t>1、加强预算及内控管理制度建设，把制度建设作为开展管理的关键环节，进一步增强支出责任和效率意识，全面加强预算管理，优化资源配置，提高财政资金使用效率和科学精细化管理水平。对无具体内容、无明细支出测算的或支出测算不够细化的项目一律不予安排。在预算编制及执行环节，加强了预算执行监管和执行结果评价，将内控、绩效监督渗透到财务管理的事前、事中、事后各个环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kern w:val="16"/>
          <w:sz w:val="24"/>
        </w:rPr>
      </w:pPr>
      <w:r>
        <w:rPr>
          <w:rFonts w:hint="eastAsia" w:ascii="宋体" w:hAnsi="宋体" w:eastAsia="宋体" w:cs="宋体"/>
          <w:kern w:val="16"/>
          <w:sz w:val="24"/>
        </w:rPr>
        <w:t>2、加强绩效管理，每年对单位申报的预算项目进行全面梳理、加强审核、合理保障，所有项目必须有明细的资金测算及绩效评价。</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kern w:val="16"/>
          <w:sz w:val="24"/>
        </w:rPr>
      </w:pPr>
      <w:r>
        <w:rPr>
          <w:rFonts w:hint="eastAsia" w:ascii="宋体" w:hAnsi="宋体" w:eastAsia="宋体" w:cs="宋体"/>
          <w:kern w:val="16"/>
          <w:sz w:val="24"/>
        </w:rPr>
        <w:t>3、加强资产管理，加强固定资产监管力度，定期或不定期清查，一般每年至少清查一次，防止国有资产流失。</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jc w:val="both"/>
        <w:textAlignment w:val="auto"/>
        <w:rPr>
          <w:rFonts w:hint="eastAsia" w:ascii="宋体" w:hAnsi="宋体" w:eastAsia="宋体" w:cs="宋体"/>
          <w:kern w:val="16"/>
          <w:sz w:val="24"/>
        </w:rPr>
      </w:pPr>
      <w:r>
        <w:rPr>
          <w:rFonts w:hint="eastAsia" w:ascii="宋体" w:hAnsi="宋体" w:eastAsia="宋体" w:cs="宋体"/>
          <w:kern w:val="16"/>
          <w:sz w:val="24"/>
        </w:rPr>
        <w:t>4、加强队伍建设，定期组织职工进行政治理论学习，鼓励职工利用业余时间进行业务钻研，倡导大家积极参加各类培训和指导，提高工作人员的整体素质。</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imes New Roman" w:cs="Times New Roman"/>
          <w:sz w:val="24"/>
          <w:szCs w:val="24"/>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pStyle w:val="2"/>
        <w:ind w:left="0" w:firstLine="602" w:firstLineChars="200"/>
        <w:jc w:val="left"/>
        <w:rPr>
          <w:rFonts w:ascii="Times New Roman" w:hAnsi="Times New Roman" w:eastAsia="Times New Roman" w:cs="Times New Roman"/>
          <w:sz w:val="24"/>
          <w:szCs w:val="24"/>
        </w:rPr>
      </w:pPr>
      <w:bookmarkStart w:id="94" w:name="_Toc256000019"/>
      <w:bookmarkStart w:id="95" w:name="_Toc10727"/>
      <w:bookmarkStart w:id="96" w:name="_Toc5471"/>
      <w:bookmarkStart w:id="97" w:name="_Toc256000041"/>
      <w:r>
        <w:rPr>
          <w:rFonts w:hint="eastAsia" w:ascii="黑体" w:hAnsi="黑体" w:eastAsia="黑体" w:cs="黑体"/>
          <w:b/>
          <w:bCs/>
          <w:sz w:val="30"/>
          <w:szCs w:val="30"/>
        </w:rPr>
        <w:t>附件：补充报表</w:t>
      </w:r>
      <w:bookmarkEnd w:id="94"/>
      <w:bookmarkEnd w:id="95"/>
      <w:bookmarkEnd w:id="96"/>
      <w:bookmarkEnd w:id="97"/>
    </w:p>
    <w:p>
      <w:pPr>
        <w:pStyle w:val="4"/>
        <w:spacing w:before="0" w:after="0" w:line="240" w:lineRule="auto"/>
        <w:ind w:firstLine="723" w:firstLineChars="300"/>
        <w:rPr>
          <w:rFonts w:ascii="宋体" w:hAnsi="宋体" w:eastAsia="宋体" w:cs="宋体"/>
          <w:sz w:val="24"/>
          <w:szCs w:val="24"/>
        </w:rPr>
      </w:pPr>
      <w:bookmarkStart w:id="98" w:name="_Toc12006"/>
      <w:bookmarkStart w:id="99" w:name="_Toc256000020"/>
      <w:bookmarkStart w:id="100" w:name="_Toc256000042"/>
      <w:bookmarkStart w:id="101" w:name="_Toc26003"/>
      <w:r>
        <w:rPr>
          <w:rFonts w:hint="eastAsia" w:ascii="宋体" w:hAnsi="宋体" w:eastAsia="宋体" w:cs="宋体"/>
          <w:sz w:val="24"/>
          <w:szCs w:val="24"/>
        </w:rPr>
        <w:t>1.</w:t>
      </w:r>
      <w:r>
        <w:rPr>
          <w:rFonts w:ascii="宋体" w:hAnsi="宋体" w:eastAsia="宋体" w:cs="宋体"/>
          <w:sz w:val="24"/>
          <w:szCs w:val="24"/>
        </w:rPr>
        <w:t>应付工程款情况表</w:t>
      </w:r>
      <w:bookmarkEnd w:id="98"/>
      <w:bookmarkEnd w:id="99"/>
      <w:bookmarkEnd w:id="100"/>
      <w:bookmarkEnd w:id="101"/>
    </w:p>
    <w:p>
      <w:pPr>
        <w:widowControl/>
        <w:autoSpaceDE/>
        <w:autoSpaceDN/>
        <w:spacing w:line="495" w:lineRule="atLeast"/>
        <w:rPr>
          <w:rFonts w:ascii="宋体" w:hAnsi="宋体" w:eastAsia="宋体" w:cs="宋体"/>
          <w:b/>
          <w:bCs/>
          <w:sz w:val="24"/>
          <w:szCs w:val="24"/>
        </w:rPr>
      </w:pPr>
      <w:bookmarkStart w:id="102" w:name="a021"/>
      <w:r>
        <w:rPr>
          <w:rFonts w:ascii="宋体" w:hAnsi="宋体" w:eastAsia="宋体" w:cs="宋体"/>
          <w:sz w:val="24"/>
          <w:szCs w:val="24"/>
        </w:rPr>
        <w:t>（无）</w:t>
      </w:r>
      <w:bookmarkEnd w:id="102"/>
    </w:p>
    <w:p>
      <w:pPr>
        <w:pStyle w:val="4"/>
        <w:spacing w:before="0" w:after="0" w:line="240" w:lineRule="auto"/>
        <w:ind w:firstLine="723" w:firstLineChars="300"/>
        <w:rPr>
          <w:rFonts w:ascii="宋体" w:hAnsi="宋体" w:eastAsia="宋体" w:cs="宋体"/>
          <w:sz w:val="24"/>
          <w:szCs w:val="24"/>
        </w:rPr>
      </w:pPr>
      <w:bookmarkStart w:id="103" w:name="_Toc256000043"/>
      <w:bookmarkStart w:id="104" w:name="_Toc7550"/>
      <w:bookmarkStart w:id="105" w:name="_Toc19717"/>
      <w:bookmarkStart w:id="106" w:name="_Toc256000021"/>
      <w:r>
        <w:rPr>
          <w:rFonts w:ascii="宋体" w:hAnsi="宋体" w:eastAsia="宋体" w:cs="宋体"/>
          <w:sz w:val="24"/>
          <w:szCs w:val="24"/>
        </w:rPr>
        <w:t>2.本年预算结余与盈余调节表</w:t>
      </w:r>
      <w:bookmarkEnd w:id="103"/>
      <w:bookmarkEnd w:id="104"/>
      <w:bookmarkEnd w:id="105"/>
      <w:bookmarkEnd w:id="106"/>
    </w:p>
    <w:tbl>
      <w:tblPr>
        <w:tblStyle w:val="19"/>
        <w:tblW w:w="5000" w:type="pct"/>
        <w:jc w:val="center"/>
        <w:tblLayout w:type="autofit"/>
        <w:tblCellMar>
          <w:top w:w="15" w:type="dxa"/>
          <w:left w:w="15" w:type="dxa"/>
          <w:bottom w:w="15" w:type="dxa"/>
          <w:right w:w="15" w:type="dxa"/>
        </w:tblCellMar>
      </w:tblPr>
      <w:tblGrid>
        <w:gridCol w:w="6054"/>
        <w:gridCol w:w="3048"/>
      </w:tblGrid>
      <w:tr>
        <w:tblPrEx>
          <w:tblCellMar>
            <w:top w:w="15" w:type="dxa"/>
            <w:left w:w="15" w:type="dxa"/>
            <w:bottom w:w="15" w:type="dxa"/>
            <w:right w:w="15" w:type="dxa"/>
          </w:tblCellMar>
        </w:tblPrEx>
        <w:trPr>
          <w:trHeight w:val="330" w:hRule="atLeast"/>
          <w:tblHeader/>
          <w:jc w:val="center"/>
        </w:trPr>
        <w:tc>
          <w:tcPr>
            <w:tcW w:w="0" w:type="auto"/>
            <w:vAlign w:val="center"/>
          </w:tcPr>
          <w:p>
            <w:pPr>
              <w:rPr>
                <w:rFonts w:ascii="Times New Roman" w:hAnsi="Times New Roman" w:eastAsia="Times New Roman" w:cs="Times New Roman"/>
                <w:sz w:val="24"/>
                <w:szCs w:val="24"/>
              </w:rPr>
            </w:pPr>
          </w:p>
        </w:tc>
        <w:tc>
          <w:tcPr>
            <w:tcW w:w="0" w:type="auto"/>
            <w:vAlign w:val="center"/>
          </w:tcPr>
          <w:p>
            <w:pPr>
              <w:rPr>
                <w:rFonts w:ascii="Times New Roman" w:hAnsi="Times New Roman" w:eastAsia="Times New Roman" w:cs="Times New Roman"/>
                <w:sz w:val="24"/>
                <w:szCs w:val="24"/>
              </w:rPr>
            </w:pPr>
          </w:p>
        </w:tc>
      </w:tr>
      <w:tr>
        <w:tblPrEx>
          <w:tblCellMar>
            <w:top w:w="15" w:type="dxa"/>
            <w:left w:w="15" w:type="dxa"/>
            <w:bottom w:w="15" w:type="dxa"/>
            <w:right w:w="15" w:type="dxa"/>
          </w:tblCellMar>
        </w:tblPrEx>
        <w:trPr>
          <w:trHeight w:val="330" w:hRule="atLeast"/>
          <w:jc w:val="center"/>
        </w:trPr>
        <w:tc>
          <w:tcPr>
            <w:tcW w:w="0" w:type="auto"/>
            <w:gridSpan w:val="2"/>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color w:val="000000"/>
                <w:sz w:val="30"/>
                <w:szCs w:val="30"/>
              </w:rPr>
            </w:pPr>
            <w:r>
              <w:rPr>
                <w:rFonts w:ascii="宋体" w:hAnsi="宋体" w:eastAsia="宋体" w:cs="宋体"/>
                <w:b/>
                <w:bCs/>
                <w:color w:val="000000"/>
                <w:sz w:val="30"/>
                <w:szCs w:val="30"/>
              </w:rPr>
              <w:t>本年预算结余与盈余调节表</w:t>
            </w:r>
          </w:p>
        </w:tc>
      </w:tr>
      <w:tr>
        <w:tblPrEx>
          <w:tblCellMar>
            <w:top w:w="15" w:type="dxa"/>
            <w:left w:w="15" w:type="dxa"/>
            <w:bottom w:w="15" w:type="dxa"/>
            <w:right w:w="15" w:type="dxa"/>
          </w:tblCellMar>
        </w:tblPrEx>
        <w:trPr>
          <w:trHeight w:val="330" w:hRule="atLeast"/>
          <w:jc w:val="center"/>
        </w:trPr>
        <w:tc>
          <w:tcPr>
            <w:tcW w:w="2130" w:type="dxa"/>
            <w:gridSpan w:val="2"/>
            <w:tcBorders>
              <w:bottom w:val="single" w:color="000000" w:sz="12" w:space="0"/>
            </w:tcBorders>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宋体" w:hAnsi="宋体" w:eastAsia="宋体" w:cs="宋体"/>
                <w:color w:val="000000"/>
                <w:sz w:val="24"/>
                <w:szCs w:val="24"/>
              </w:rPr>
              <w:t>单位：万元</w:t>
            </w:r>
          </w:p>
        </w:tc>
      </w:tr>
      <w:tr>
        <w:tblPrEx>
          <w:tblCellMar>
            <w:top w:w="15" w:type="dxa"/>
            <w:left w:w="15" w:type="dxa"/>
            <w:bottom w:w="15" w:type="dxa"/>
            <w:right w:w="15" w:type="dxa"/>
          </w:tblCellMar>
        </w:tblPrEx>
        <w:trPr>
          <w:jc w:val="center"/>
        </w:trPr>
        <w:tc>
          <w:tcPr>
            <w:tcW w:w="42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项目</w:t>
            </w:r>
          </w:p>
        </w:tc>
        <w:tc>
          <w:tcPr>
            <w:tcW w:w="2130" w:type="dxa"/>
            <w:tcBorders>
              <w:bottom w:val="single" w:color="000000" w:sz="12" w:space="0"/>
            </w:tcBorders>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金额</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一、本年预算结余（本年预算收支差额）</w:t>
            </w:r>
          </w:p>
        </w:tc>
        <w:tc>
          <w:tcPr>
            <w:tcW w:w="2130" w:type="dxa"/>
            <w:tcMar>
              <w:top w:w="2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0.24</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二、差异调节</w:t>
            </w:r>
          </w:p>
        </w:tc>
        <w:tc>
          <w:tcPr>
            <w:tcW w:w="2130" w:type="dxa"/>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（一）重要事项的差异</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加：</w:t>
            </w:r>
            <w:r>
              <w:rPr>
                <w:rFonts w:ascii="Times New Roman" w:hAnsi="Times New Roman" w:eastAsia="Times New Roman" w:cs="Times New Roman"/>
                <w:b/>
                <w:bCs/>
                <w:color w:val="000000"/>
                <w:sz w:val="24"/>
                <w:szCs w:val="24"/>
              </w:rPr>
              <w:t>1.</w:t>
            </w:r>
            <w:r>
              <w:rPr>
                <w:rFonts w:ascii="宋体" w:hAnsi="宋体" w:eastAsia="宋体" w:cs="宋体"/>
                <w:b/>
                <w:bCs/>
                <w:color w:val="000000"/>
                <w:sz w:val="24"/>
                <w:szCs w:val="24"/>
              </w:rPr>
              <w:t>当期确认为收入但没有确认为预算收入</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1</w:t>
            </w:r>
            <w:r>
              <w:rPr>
                <w:rFonts w:ascii="宋体" w:hAnsi="宋体" w:eastAsia="宋体" w:cs="宋体"/>
                <w:color w:val="000000"/>
                <w:sz w:val="24"/>
                <w:szCs w:val="24"/>
              </w:rPr>
              <w:t>）应收款项、预收账款确认的收入</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2</w:t>
            </w:r>
            <w:r>
              <w:rPr>
                <w:rFonts w:ascii="宋体" w:hAnsi="宋体" w:eastAsia="宋体" w:cs="宋体"/>
                <w:color w:val="000000"/>
                <w:sz w:val="24"/>
                <w:szCs w:val="24"/>
              </w:rPr>
              <w:t>）接受非货币性资产捐赠确认的收入</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w:t>
            </w:r>
            <w:r>
              <w:rPr>
                <w:rFonts w:ascii="宋体" w:hAnsi="宋体" w:eastAsia="宋体" w:cs="宋体"/>
                <w:b/>
                <w:bCs/>
                <w:color w:val="000000"/>
                <w:sz w:val="24"/>
                <w:szCs w:val="24"/>
              </w:rPr>
              <w:t>当期确认为预算支出但没有确认为费用</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1</w:t>
            </w:r>
            <w:r>
              <w:rPr>
                <w:rFonts w:ascii="宋体" w:hAnsi="宋体" w:eastAsia="宋体" w:cs="宋体"/>
                <w:color w:val="000000"/>
                <w:sz w:val="24"/>
                <w:szCs w:val="24"/>
              </w:rPr>
              <w:t>）支付应付款项、预付账款的支出</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2</w:t>
            </w:r>
            <w:r>
              <w:rPr>
                <w:rFonts w:ascii="宋体" w:hAnsi="宋体" w:eastAsia="宋体" w:cs="宋体"/>
                <w:color w:val="000000"/>
                <w:sz w:val="24"/>
                <w:szCs w:val="24"/>
              </w:rPr>
              <w:t>）为取得存货、政府储备物资等计入物资成本的支出</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3</w:t>
            </w:r>
            <w:r>
              <w:rPr>
                <w:rFonts w:ascii="宋体" w:hAnsi="宋体" w:eastAsia="宋体" w:cs="宋体"/>
                <w:color w:val="000000"/>
                <w:sz w:val="24"/>
                <w:szCs w:val="24"/>
              </w:rPr>
              <w:t>）为购建固定资产等的资本性支出</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16.50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4</w:t>
            </w:r>
            <w:r>
              <w:rPr>
                <w:rFonts w:ascii="宋体" w:hAnsi="宋体" w:eastAsia="宋体" w:cs="宋体"/>
                <w:color w:val="000000"/>
                <w:sz w:val="24"/>
                <w:szCs w:val="24"/>
              </w:rPr>
              <w:t>）偿还借款本息支出</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减：</w:t>
            </w:r>
            <w:r>
              <w:rPr>
                <w:rFonts w:ascii="Times New Roman" w:hAnsi="Times New Roman" w:eastAsia="Times New Roman" w:cs="Times New Roman"/>
                <w:b/>
                <w:bCs/>
                <w:color w:val="000000"/>
                <w:sz w:val="24"/>
                <w:szCs w:val="24"/>
              </w:rPr>
              <w:t>1.</w:t>
            </w:r>
            <w:r>
              <w:rPr>
                <w:rFonts w:ascii="宋体" w:hAnsi="宋体" w:eastAsia="宋体" w:cs="宋体"/>
                <w:b/>
                <w:bCs/>
                <w:color w:val="000000"/>
                <w:sz w:val="24"/>
                <w:szCs w:val="24"/>
              </w:rPr>
              <w:t>当期确认为预算收入但没有确认为收入</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1</w:t>
            </w:r>
            <w:r>
              <w:rPr>
                <w:rFonts w:ascii="宋体" w:hAnsi="宋体" w:eastAsia="宋体" w:cs="宋体"/>
                <w:color w:val="000000"/>
                <w:sz w:val="24"/>
                <w:szCs w:val="24"/>
              </w:rPr>
              <w:t>）收到应收款项、预收账款确认的预算收入</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2</w:t>
            </w:r>
            <w:r>
              <w:rPr>
                <w:rFonts w:ascii="宋体" w:hAnsi="宋体" w:eastAsia="宋体" w:cs="宋体"/>
                <w:color w:val="000000"/>
                <w:sz w:val="24"/>
                <w:szCs w:val="24"/>
              </w:rPr>
              <w:t>）取得借款确认的预算收入</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w:t>
            </w:r>
            <w:r>
              <w:rPr>
                <w:rFonts w:ascii="宋体" w:hAnsi="宋体" w:eastAsia="宋体" w:cs="宋体"/>
                <w:b/>
                <w:bCs/>
                <w:color w:val="000000"/>
                <w:sz w:val="24"/>
                <w:szCs w:val="24"/>
              </w:rPr>
              <w:t>当期确认为费用但没有确认为预算支出</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9.22</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1</w:t>
            </w:r>
            <w:r>
              <w:rPr>
                <w:rFonts w:ascii="宋体" w:hAnsi="宋体" w:eastAsia="宋体" w:cs="宋体"/>
                <w:color w:val="000000"/>
                <w:sz w:val="24"/>
                <w:szCs w:val="24"/>
              </w:rPr>
              <w:t>）发出存货、政府储备物资等确认的费用</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2</w:t>
            </w:r>
            <w:r>
              <w:rPr>
                <w:rFonts w:ascii="宋体" w:hAnsi="宋体" w:eastAsia="宋体" w:cs="宋体"/>
                <w:color w:val="000000"/>
                <w:sz w:val="24"/>
                <w:szCs w:val="24"/>
              </w:rPr>
              <w:t>）计提的折旧费用和摊销费用</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9.02</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3</w:t>
            </w:r>
            <w:r>
              <w:rPr>
                <w:rFonts w:ascii="宋体" w:hAnsi="宋体" w:eastAsia="宋体" w:cs="宋体"/>
                <w:color w:val="000000"/>
                <w:sz w:val="24"/>
                <w:szCs w:val="24"/>
              </w:rPr>
              <w:t>）确认的资产处置费用（处置资产价值）</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color w:val="000000"/>
                <w:sz w:val="24"/>
                <w:szCs w:val="24"/>
              </w:rPr>
            </w:pPr>
            <w:r>
              <w:rPr>
                <w:rFonts w:ascii="宋体" w:hAnsi="宋体" w:eastAsia="宋体" w:cs="宋体"/>
                <w:color w:val="000000"/>
                <w:sz w:val="24"/>
                <w:szCs w:val="24"/>
              </w:rPr>
              <w:t>（</w:t>
            </w:r>
            <w:r>
              <w:rPr>
                <w:rFonts w:ascii="Times New Roman" w:hAnsi="Times New Roman" w:eastAsia="Times New Roman" w:cs="Times New Roman"/>
                <w:color w:val="000000"/>
                <w:sz w:val="24"/>
                <w:szCs w:val="24"/>
              </w:rPr>
              <w:t>4</w:t>
            </w:r>
            <w:r>
              <w:rPr>
                <w:rFonts w:ascii="宋体" w:hAnsi="宋体" w:eastAsia="宋体" w:cs="宋体"/>
                <w:color w:val="000000"/>
                <w:sz w:val="24"/>
                <w:szCs w:val="24"/>
              </w:rPr>
              <w:t>）应付款项、预付账款确认的费用</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0.20</w:t>
            </w:r>
          </w:p>
        </w:tc>
      </w:tr>
      <w:tr>
        <w:tblPrEx>
          <w:tblCellMar>
            <w:top w:w="15" w:type="dxa"/>
            <w:left w:w="15" w:type="dxa"/>
            <w:bottom w:w="15" w:type="dxa"/>
            <w:right w:w="15" w:type="dxa"/>
          </w:tblCellMar>
        </w:tblPrEx>
        <w:trPr>
          <w:jc w:val="center"/>
        </w:trPr>
        <w:tc>
          <w:tcPr>
            <w:tcW w:w="4230" w:type="dxa"/>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（二）其他事项差异</w:t>
            </w:r>
          </w:p>
        </w:tc>
        <w:tc>
          <w:tcPr>
            <w:tcW w:w="2130" w:type="dxa"/>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color w:val="000000"/>
                <w:sz w:val="24"/>
                <w:szCs w:val="24"/>
              </w:rPr>
            </w:pPr>
          </w:p>
        </w:tc>
      </w:tr>
      <w:tr>
        <w:tblPrEx>
          <w:tblCellMar>
            <w:top w:w="15" w:type="dxa"/>
            <w:left w:w="15" w:type="dxa"/>
            <w:bottom w:w="15" w:type="dxa"/>
            <w:right w:w="15" w:type="dxa"/>
          </w:tblCellMar>
        </w:tblPrEx>
        <w:trPr>
          <w:jc w:val="center"/>
        </w:trPr>
        <w:tc>
          <w:tcPr>
            <w:tcW w:w="4230" w:type="dxa"/>
            <w:tcBorders>
              <w:top w:val="single" w:color="000000" w:sz="12" w:space="0"/>
            </w:tcBorders>
            <w:tcMar>
              <w:top w:w="30" w:type="dxa"/>
              <w:left w:w="20" w:type="dxa"/>
              <w:bottom w:w="20" w:type="dxa"/>
              <w:right w:w="20" w:type="dxa"/>
            </w:tcMar>
            <w:vAlign w:val="center"/>
          </w:tcPr>
          <w:p>
            <w:pPr>
              <w:widowControl/>
              <w:autoSpaceDE/>
              <w:autoSpaceDN/>
              <w:rPr>
                <w:rFonts w:ascii="Times New Roman" w:hAnsi="Times New Roman" w:eastAsia="Times New Roman" w:cs="Times New Roman"/>
                <w:b/>
                <w:bCs/>
                <w:color w:val="000000"/>
                <w:sz w:val="24"/>
                <w:szCs w:val="24"/>
              </w:rPr>
            </w:pPr>
            <w:r>
              <w:rPr>
                <w:rFonts w:ascii="宋体" w:hAnsi="宋体" w:eastAsia="宋体" w:cs="宋体"/>
                <w:b/>
                <w:bCs/>
                <w:color w:val="000000"/>
                <w:sz w:val="24"/>
                <w:szCs w:val="24"/>
              </w:rPr>
              <w:t>三、本年盈余（本年收入与费用的差额）</w:t>
            </w:r>
          </w:p>
        </w:tc>
        <w:tc>
          <w:tcPr>
            <w:tcW w:w="2130" w:type="dxa"/>
            <w:tcBorders>
              <w:top w:val="single" w:color="000000" w:sz="12" w:space="0"/>
            </w:tcBorders>
            <w:tcMar>
              <w:top w:w="30" w:type="dxa"/>
              <w:left w:w="20" w:type="dxa"/>
              <w:bottom w:w="20" w:type="dxa"/>
              <w:right w:w="20" w:type="dxa"/>
            </w:tcMar>
            <w:vAlign w:val="center"/>
          </w:tcPr>
          <w:p>
            <w:pPr>
              <w:widowControl/>
              <w:autoSpaceDE/>
              <w:autoSpaceDN/>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7.54</w:t>
            </w:r>
          </w:p>
        </w:tc>
      </w:tr>
      <w:tr>
        <w:tblPrEx>
          <w:tblCellMar>
            <w:top w:w="15" w:type="dxa"/>
            <w:left w:w="15" w:type="dxa"/>
            <w:bottom w:w="15" w:type="dxa"/>
            <w:right w:w="15" w:type="dxa"/>
          </w:tblCellMar>
        </w:tblPrEx>
        <w:trPr>
          <w:jc w:val="center"/>
        </w:trPr>
        <w:tc>
          <w:tcPr>
            <w:tcW w:w="4230" w:type="dxa"/>
            <w:gridSpan w:val="2"/>
            <w:tcBorders>
              <w:top w:val="single" w:color="000000" w:sz="12" w:space="0"/>
            </w:tcBorders>
            <w:tcMar>
              <w:top w:w="30" w:type="dxa"/>
              <w:left w:w="20" w:type="dxa"/>
              <w:bottom w:w="20" w:type="dxa"/>
              <w:right w:w="20" w:type="dxa"/>
            </w:tcMar>
            <w:vAlign w:val="center"/>
          </w:tcPr>
          <w:p>
            <w:pPr>
              <w:widowControl/>
              <w:autoSpaceDE/>
              <w:autoSpaceDN/>
              <w:rPr>
                <w:rFonts w:ascii="Times New Roman" w:hAnsi="Times New Roman" w:eastAsia="Times New Roman" w:cs="Times New Roman"/>
                <w:color w:val="000000"/>
                <w:sz w:val="24"/>
                <w:szCs w:val="24"/>
              </w:rPr>
            </w:pPr>
            <w:r>
              <w:rPr>
                <w:rFonts w:ascii="宋体" w:hAnsi="宋体" w:eastAsia="宋体" w:cs="宋体"/>
                <w:color w:val="000000"/>
                <w:sz w:val="24"/>
                <w:szCs w:val="24"/>
              </w:rPr>
              <w:t>注：部门层面通过加总所属单位本年预算结余与盈余调节表生成。</w:t>
            </w:r>
          </w:p>
        </w:tc>
      </w:tr>
    </w:tbl>
    <w:p>
      <w:pPr>
        <w:widowControl/>
        <w:autoSpaceDE/>
        <w:autoSpaceDN/>
        <w:rPr>
          <w:rFonts w:ascii="Times New Roman" w:hAnsi="Times New Roman" w:eastAsia="Times New Roman" w:cs="Times New Roman"/>
          <w:sz w:val="24"/>
          <w:szCs w:val="24"/>
        </w:rPr>
      </w:pPr>
    </w:p>
    <w:p>
      <w:pPr>
        <w:rPr>
          <w:rFonts w:ascii="宋体" w:hAnsi="宋体" w:eastAsia="宋体" w:cs="宋体"/>
          <w:sz w:val="28"/>
          <w:szCs w:val="28"/>
        </w:rPr>
      </w:pPr>
      <w:bookmarkStart w:id="107" w:name="a022"/>
      <w:bookmarkEnd w:id="107"/>
    </w:p>
    <w:sectPr>
      <w:footerReference r:id="rId4" w:type="default"/>
      <w:pgSz w:w="11906" w:h="16838"/>
      <w:pgMar w:top="1984"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Bold">
    <w:altName w:val="Segoe Print"/>
    <w:panose1 w:val="00000000000000000000"/>
    <w:charset w:val="00"/>
    <w:family w:val="swiss"/>
    <w:pitch w:val="default"/>
    <w:sig w:usb0="00000000" w:usb1="00000000" w:usb2="00000000" w:usb3="00000000" w:csb0="00000000" w:csb1="00000000"/>
  </w:font>
  <w:font w:name="Noto Sans CJK JP Black">
    <w:altName w:val="Segoe Print"/>
    <w:panose1 w:val="00000000000000000000"/>
    <w:charset w:val="00"/>
    <w:family w:val="swiss"/>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15</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24</w:t>
    </w:r>
    <w:r>
      <w:rPr>
        <w:rFonts w:ascii="宋体" w:hAnsi="宋体" w:eastAsia="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F3F32"/>
    <w:multiLevelType w:val="multilevel"/>
    <w:tmpl w:val="44FF3F32"/>
    <w:lvl w:ilvl="0" w:tentative="0">
      <w:start w:val="1"/>
      <w:numFmt w:val="japaneseCounting"/>
      <w:lvlText w:val="（%1）"/>
      <w:lvlJc w:val="left"/>
      <w:pPr>
        <w:ind w:left="1196" w:hanging="756"/>
      </w:pPr>
      <w:rPr>
        <w:rFonts w:hint="default"/>
      </w:rPr>
    </w:lvl>
    <w:lvl w:ilvl="1" w:tentative="0">
      <w:start w:val="1"/>
      <w:numFmt w:val="japaneseCounting"/>
      <w:lvlText w:val="(%2）"/>
      <w:lvlJc w:val="left"/>
      <w:pPr>
        <w:ind w:left="1580" w:hanging="720"/>
      </w:pPr>
      <w:rPr>
        <w:rFonts w:hint="default"/>
      </w:r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NjRjOTY0NjRjMDRhZGE2MTNiMjI1ODhhNTE2MzcifQ=="/>
  </w:docVars>
  <w:rsids>
    <w:rsidRoot w:val="006F3DDE"/>
    <w:rsid w:val="0000373B"/>
    <w:rsid w:val="00010C4D"/>
    <w:rsid w:val="00013052"/>
    <w:rsid w:val="00017E64"/>
    <w:rsid w:val="00024177"/>
    <w:rsid w:val="000309B2"/>
    <w:rsid w:val="0004589A"/>
    <w:rsid w:val="00051025"/>
    <w:rsid w:val="00056E19"/>
    <w:rsid w:val="00062803"/>
    <w:rsid w:val="00062FA3"/>
    <w:rsid w:val="00073D3E"/>
    <w:rsid w:val="0007448D"/>
    <w:rsid w:val="00074705"/>
    <w:rsid w:val="00083DB2"/>
    <w:rsid w:val="00091E21"/>
    <w:rsid w:val="000926E0"/>
    <w:rsid w:val="00097397"/>
    <w:rsid w:val="000A37C1"/>
    <w:rsid w:val="000B0203"/>
    <w:rsid w:val="000E27ED"/>
    <w:rsid w:val="000E7372"/>
    <w:rsid w:val="00104AA2"/>
    <w:rsid w:val="001112D7"/>
    <w:rsid w:val="00114450"/>
    <w:rsid w:val="0011693A"/>
    <w:rsid w:val="00137729"/>
    <w:rsid w:val="00141720"/>
    <w:rsid w:val="00143B09"/>
    <w:rsid w:val="0015331F"/>
    <w:rsid w:val="00154B84"/>
    <w:rsid w:val="00155E1A"/>
    <w:rsid w:val="00163B50"/>
    <w:rsid w:val="00167055"/>
    <w:rsid w:val="00170687"/>
    <w:rsid w:val="00170D59"/>
    <w:rsid w:val="00175B46"/>
    <w:rsid w:val="0018224B"/>
    <w:rsid w:val="00184292"/>
    <w:rsid w:val="0018556B"/>
    <w:rsid w:val="001856C5"/>
    <w:rsid w:val="001A041B"/>
    <w:rsid w:val="001A2968"/>
    <w:rsid w:val="001B10BD"/>
    <w:rsid w:val="001B1392"/>
    <w:rsid w:val="001B3226"/>
    <w:rsid w:val="001C1A6C"/>
    <w:rsid w:val="001C1C54"/>
    <w:rsid w:val="001C79A8"/>
    <w:rsid w:val="001D0D20"/>
    <w:rsid w:val="001E10B9"/>
    <w:rsid w:val="001F2EE1"/>
    <w:rsid w:val="001F4AF9"/>
    <w:rsid w:val="001F528B"/>
    <w:rsid w:val="001F78F3"/>
    <w:rsid w:val="00206092"/>
    <w:rsid w:val="00207024"/>
    <w:rsid w:val="00216BB3"/>
    <w:rsid w:val="00222412"/>
    <w:rsid w:val="00233DFC"/>
    <w:rsid w:val="00240B43"/>
    <w:rsid w:val="0024407E"/>
    <w:rsid w:val="002628F5"/>
    <w:rsid w:val="00287E1D"/>
    <w:rsid w:val="002A36E7"/>
    <w:rsid w:val="002A49F1"/>
    <w:rsid w:val="002A7E29"/>
    <w:rsid w:val="002B2326"/>
    <w:rsid w:val="002B2F1E"/>
    <w:rsid w:val="002B3F9D"/>
    <w:rsid w:val="002C1D8E"/>
    <w:rsid w:val="002C2852"/>
    <w:rsid w:val="002C400C"/>
    <w:rsid w:val="002D0CA4"/>
    <w:rsid w:val="002D5469"/>
    <w:rsid w:val="002E12E7"/>
    <w:rsid w:val="00312761"/>
    <w:rsid w:val="003151B4"/>
    <w:rsid w:val="00325338"/>
    <w:rsid w:val="00326933"/>
    <w:rsid w:val="003354BF"/>
    <w:rsid w:val="003441A9"/>
    <w:rsid w:val="0034506D"/>
    <w:rsid w:val="00360C0C"/>
    <w:rsid w:val="00363DA0"/>
    <w:rsid w:val="00367B43"/>
    <w:rsid w:val="00377826"/>
    <w:rsid w:val="00377D8A"/>
    <w:rsid w:val="00381939"/>
    <w:rsid w:val="00385180"/>
    <w:rsid w:val="003A4369"/>
    <w:rsid w:val="003C04F7"/>
    <w:rsid w:val="003C2E75"/>
    <w:rsid w:val="003C537D"/>
    <w:rsid w:val="003C77DB"/>
    <w:rsid w:val="003D3732"/>
    <w:rsid w:val="00401FD8"/>
    <w:rsid w:val="00410CA6"/>
    <w:rsid w:val="00416F29"/>
    <w:rsid w:val="00433C1C"/>
    <w:rsid w:val="00436A68"/>
    <w:rsid w:val="0044715C"/>
    <w:rsid w:val="00450EB8"/>
    <w:rsid w:val="00461EBA"/>
    <w:rsid w:val="004639DF"/>
    <w:rsid w:val="00473357"/>
    <w:rsid w:val="00481C2E"/>
    <w:rsid w:val="004876B2"/>
    <w:rsid w:val="0048771D"/>
    <w:rsid w:val="004947D4"/>
    <w:rsid w:val="004A5A86"/>
    <w:rsid w:val="004A5FE2"/>
    <w:rsid w:val="004B5B5C"/>
    <w:rsid w:val="004C4D27"/>
    <w:rsid w:val="004E1296"/>
    <w:rsid w:val="004E5D64"/>
    <w:rsid w:val="004E6DBF"/>
    <w:rsid w:val="004E7344"/>
    <w:rsid w:val="004F32CB"/>
    <w:rsid w:val="004F6B9A"/>
    <w:rsid w:val="00500C52"/>
    <w:rsid w:val="005208ED"/>
    <w:rsid w:val="00522AE2"/>
    <w:rsid w:val="00526CDD"/>
    <w:rsid w:val="00540918"/>
    <w:rsid w:val="0054166B"/>
    <w:rsid w:val="005421CF"/>
    <w:rsid w:val="00543EF3"/>
    <w:rsid w:val="00555179"/>
    <w:rsid w:val="00560EEB"/>
    <w:rsid w:val="00565D96"/>
    <w:rsid w:val="005743DD"/>
    <w:rsid w:val="00584360"/>
    <w:rsid w:val="00590971"/>
    <w:rsid w:val="005A0E53"/>
    <w:rsid w:val="005A36AE"/>
    <w:rsid w:val="005A3BE0"/>
    <w:rsid w:val="005A695F"/>
    <w:rsid w:val="005B3406"/>
    <w:rsid w:val="005B5E89"/>
    <w:rsid w:val="005B7E99"/>
    <w:rsid w:val="005C3D17"/>
    <w:rsid w:val="005C4A1F"/>
    <w:rsid w:val="005C5A51"/>
    <w:rsid w:val="005D0C30"/>
    <w:rsid w:val="005D7E6B"/>
    <w:rsid w:val="005E0745"/>
    <w:rsid w:val="005E1455"/>
    <w:rsid w:val="005E32DD"/>
    <w:rsid w:val="005F1587"/>
    <w:rsid w:val="005F21F0"/>
    <w:rsid w:val="006019AA"/>
    <w:rsid w:val="00603C23"/>
    <w:rsid w:val="00607D6E"/>
    <w:rsid w:val="00624B36"/>
    <w:rsid w:val="006351F2"/>
    <w:rsid w:val="006509FF"/>
    <w:rsid w:val="006570AF"/>
    <w:rsid w:val="00661873"/>
    <w:rsid w:val="006800D2"/>
    <w:rsid w:val="006802E8"/>
    <w:rsid w:val="006934CD"/>
    <w:rsid w:val="0069462B"/>
    <w:rsid w:val="006A354C"/>
    <w:rsid w:val="006E2EA4"/>
    <w:rsid w:val="006E5C09"/>
    <w:rsid w:val="006F147F"/>
    <w:rsid w:val="006F3D0D"/>
    <w:rsid w:val="006F3DDE"/>
    <w:rsid w:val="00705A17"/>
    <w:rsid w:val="007145AE"/>
    <w:rsid w:val="00723578"/>
    <w:rsid w:val="00726BF1"/>
    <w:rsid w:val="00737038"/>
    <w:rsid w:val="00747812"/>
    <w:rsid w:val="00750158"/>
    <w:rsid w:val="0076255F"/>
    <w:rsid w:val="007655AD"/>
    <w:rsid w:val="00765D95"/>
    <w:rsid w:val="007700BE"/>
    <w:rsid w:val="0077382A"/>
    <w:rsid w:val="007837FF"/>
    <w:rsid w:val="007849CC"/>
    <w:rsid w:val="00793A00"/>
    <w:rsid w:val="007A05F4"/>
    <w:rsid w:val="007B0879"/>
    <w:rsid w:val="007B27D7"/>
    <w:rsid w:val="007C02F6"/>
    <w:rsid w:val="007C0B40"/>
    <w:rsid w:val="007C0FC1"/>
    <w:rsid w:val="007C2097"/>
    <w:rsid w:val="007D6B50"/>
    <w:rsid w:val="007D6ECF"/>
    <w:rsid w:val="007E2D20"/>
    <w:rsid w:val="007E73D8"/>
    <w:rsid w:val="007F3675"/>
    <w:rsid w:val="008005D9"/>
    <w:rsid w:val="008024BE"/>
    <w:rsid w:val="00810155"/>
    <w:rsid w:val="00812107"/>
    <w:rsid w:val="008144E7"/>
    <w:rsid w:val="00842521"/>
    <w:rsid w:val="00851ADE"/>
    <w:rsid w:val="008554C4"/>
    <w:rsid w:val="00862B84"/>
    <w:rsid w:val="00867C9F"/>
    <w:rsid w:val="00875F5B"/>
    <w:rsid w:val="00891333"/>
    <w:rsid w:val="00892040"/>
    <w:rsid w:val="0089252E"/>
    <w:rsid w:val="00895F16"/>
    <w:rsid w:val="008A3D27"/>
    <w:rsid w:val="008A5B53"/>
    <w:rsid w:val="008A7020"/>
    <w:rsid w:val="008B1955"/>
    <w:rsid w:val="008B19C4"/>
    <w:rsid w:val="008D1456"/>
    <w:rsid w:val="008D3D22"/>
    <w:rsid w:val="008E783B"/>
    <w:rsid w:val="008F0D75"/>
    <w:rsid w:val="008F2EC1"/>
    <w:rsid w:val="008F2FC6"/>
    <w:rsid w:val="008F6D54"/>
    <w:rsid w:val="008F7949"/>
    <w:rsid w:val="00910D03"/>
    <w:rsid w:val="0092208B"/>
    <w:rsid w:val="00927685"/>
    <w:rsid w:val="009306ED"/>
    <w:rsid w:val="00937825"/>
    <w:rsid w:val="00940EB9"/>
    <w:rsid w:val="00954116"/>
    <w:rsid w:val="00960E77"/>
    <w:rsid w:val="00971398"/>
    <w:rsid w:val="00972B33"/>
    <w:rsid w:val="009756E5"/>
    <w:rsid w:val="00980D8F"/>
    <w:rsid w:val="00981B23"/>
    <w:rsid w:val="00981BF6"/>
    <w:rsid w:val="009A52A4"/>
    <w:rsid w:val="009C2A83"/>
    <w:rsid w:val="009D07A7"/>
    <w:rsid w:val="009E160D"/>
    <w:rsid w:val="009E774B"/>
    <w:rsid w:val="009F2B3D"/>
    <w:rsid w:val="00A024B0"/>
    <w:rsid w:val="00A0732F"/>
    <w:rsid w:val="00A2717B"/>
    <w:rsid w:val="00A275BF"/>
    <w:rsid w:val="00A30514"/>
    <w:rsid w:val="00A33E20"/>
    <w:rsid w:val="00A52443"/>
    <w:rsid w:val="00A54B38"/>
    <w:rsid w:val="00A54CC8"/>
    <w:rsid w:val="00A54E73"/>
    <w:rsid w:val="00A601B1"/>
    <w:rsid w:val="00A77E70"/>
    <w:rsid w:val="00A85964"/>
    <w:rsid w:val="00AB20BD"/>
    <w:rsid w:val="00AD05D4"/>
    <w:rsid w:val="00AD53D5"/>
    <w:rsid w:val="00AE33FE"/>
    <w:rsid w:val="00B014F3"/>
    <w:rsid w:val="00B048C8"/>
    <w:rsid w:val="00B05B4F"/>
    <w:rsid w:val="00B06725"/>
    <w:rsid w:val="00B0773F"/>
    <w:rsid w:val="00B10AE8"/>
    <w:rsid w:val="00B61496"/>
    <w:rsid w:val="00B64145"/>
    <w:rsid w:val="00B72AF8"/>
    <w:rsid w:val="00B76067"/>
    <w:rsid w:val="00B9329C"/>
    <w:rsid w:val="00BA0ABB"/>
    <w:rsid w:val="00BA2EAA"/>
    <w:rsid w:val="00BA34F2"/>
    <w:rsid w:val="00BB5BEA"/>
    <w:rsid w:val="00BD0AC1"/>
    <w:rsid w:val="00BD1794"/>
    <w:rsid w:val="00BE31C3"/>
    <w:rsid w:val="00BE7F57"/>
    <w:rsid w:val="00BF3635"/>
    <w:rsid w:val="00C109EC"/>
    <w:rsid w:val="00C17F4B"/>
    <w:rsid w:val="00C211EB"/>
    <w:rsid w:val="00C27698"/>
    <w:rsid w:val="00C32053"/>
    <w:rsid w:val="00C36AEF"/>
    <w:rsid w:val="00C44F93"/>
    <w:rsid w:val="00C559B7"/>
    <w:rsid w:val="00C5653B"/>
    <w:rsid w:val="00C64A61"/>
    <w:rsid w:val="00C656A4"/>
    <w:rsid w:val="00C7624C"/>
    <w:rsid w:val="00C81302"/>
    <w:rsid w:val="00C84B6D"/>
    <w:rsid w:val="00C9451F"/>
    <w:rsid w:val="00CB10EB"/>
    <w:rsid w:val="00CD23DF"/>
    <w:rsid w:val="00CD6486"/>
    <w:rsid w:val="00CD6AF5"/>
    <w:rsid w:val="00CE00BB"/>
    <w:rsid w:val="00CE73EE"/>
    <w:rsid w:val="00CF0579"/>
    <w:rsid w:val="00CF21B9"/>
    <w:rsid w:val="00CF7917"/>
    <w:rsid w:val="00D03760"/>
    <w:rsid w:val="00D05E9A"/>
    <w:rsid w:val="00D14E99"/>
    <w:rsid w:val="00D25D44"/>
    <w:rsid w:val="00D26A72"/>
    <w:rsid w:val="00D27275"/>
    <w:rsid w:val="00D32EAF"/>
    <w:rsid w:val="00D4304C"/>
    <w:rsid w:val="00D51990"/>
    <w:rsid w:val="00D51BA5"/>
    <w:rsid w:val="00D53ACE"/>
    <w:rsid w:val="00D649C6"/>
    <w:rsid w:val="00D82D02"/>
    <w:rsid w:val="00D85B6E"/>
    <w:rsid w:val="00D867BF"/>
    <w:rsid w:val="00D8794A"/>
    <w:rsid w:val="00D9051B"/>
    <w:rsid w:val="00D912B3"/>
    <w:rsid w:val="00D949D8"/>
    <w:rsid w:val="00D954B3"/>
    <w:rsid w:val="00D97508"/>
    <w:rsid w:val="00D976D5"/>
    <w:rsid w:val="00DA50B8"/>
    <w:rsid w:val="00DA5AA4"/>
    <w:rsid w:val="00DD072B"/>
    <w:rsid w:val="00DD5936"/>
    <w:rsid w:val="00DE0984"/>
    <w:rsid w:val="00E15933"/>
    <w:rsid w:val="00E16692"/>
    <w:rsid w:val="00E26C60"/>
    <w:rsid w:val="00E479AD"/>
    <w:rsid w:val="00E56CC9"/>
    <w:rsid w:val="00E63088"/>
    <w:rsid w:val="00E6429E"/>
    <w:rsid w:val="00E678DC"/>
    <w:rsid w:val="00E70BEC"/>
    <w:rsid w:val="00E72C21"/>
    <w:rsid w:val="00E75D5A"/>
    <w:rsid w:val="00E80294"/>
    <w:rsid w:val="00E96352"/>
    <w:rsid w:val="00EA30DA"/>
    <w:rsid w:val="00EA4EDF"/>
    <w:rsid w:val="00EA74AE"/>
    <w:rsid w:val="00EB140A"/>
    <w:rsid w:val="00EB6435"/>
    <w:rsid w:val="00EC2872"/>
    <w:rsid w:val="00EC41FF"/>
    <w:rsid w:val="00ED23B1"/>
    <w:rsid w:val="00ED539B"/>
    <w:rsid w:val="00EE27F1"/>
    <w:rsid w:val="00EF4988"/>
    <w:rsid w:val="00F11E21"/>
    <w:rsid w:val="00F12599"/>
    <w:rsid w:val="00F14CE1"/>
    <w:rsid w:val="00F2225D"/>
    <w:rsid w:val="00F30A4E"/>
    <w:rsid w:val="00F33B06"/>
    <w:rsid w:val="00F46670"/>
    <w:rsid w:val="00F517F9"/>
    <w:rsid w:val="00F51E57"/>
    <w:rsid w:val="00F62367"/>
    <w:rsid w:val="00F63CEC"/>
    <w:rsid w:val="00F7016A"/>
    <w:rsid w:val="00F77AC6"/>
    <w:rsid w:val="00F77D73"/>
    <w:rsid w:val="00F854FB"/>
    <w:rsid w:val="00F871FC"/>
    <w:rsid w:val="00F926D3"/>
    <w:rsid w:val="00FA68DD"/>
    <w:rsid w:val="00FB4B4A"/>
    <w:rsid w:val="00FB5A88"/>
    <w:rsid w:val="00FC07D0"/>
    <w:rsid w:val="00FD3A23"/>
    <w:rsid w:val="00FD4964"/>
    <w:rsid w:val="00FD7B5F"/>
    <w:rsid w:val="00FE53ED"/>
    <w:rsid w:val="00FE67F4"/>
    <w:rsid w:val="00FE7FDE"/>
    <w:rsid w:val="00FF45F0"/>
    <w:rsid w:val="01211FE3"/>
    <w:rsid w:val="017152A1"/>
    <w:rsid w:val="01A93FA3"/>
    <w:rsid w:val="022677FB"/>
    <w:rsid w:val="022C6982"/>
    <w:rsid w:val="02355837"/>
    <w:rsid w:val="02751D77"/>
    <w:rsid w:val="02A64586"/>
    <w:rsid w:val="02E266C7"/>
    <w:rsid w:val="02FE4791"/>
    <w:rsid w:val="03304250"/>
    <w:rsid w:val="03504A3E"/>
    <w:rsid w:val="03787221"/>
    <w:rsid w:val="03BC5522"/>
    <w:rsid w:val="03EB69E8"/>
    <w:rsid w:val="0400519F"/>
    <w:rsid w:val="04051092"/>
    <w:rsid w:val="041615A9"/>
    <w:rsid w:val="044B1342"/>
    <w:rsid w:val="0477618D"/>
    <w:rsid w:val="047914B1"/>
    <w:rsid w:val="049C7DEF"/>
    <w:rsid w:val="04BC071A"/>
    <w:rsid w:val="04C27105"/>
    <w:rsid w:val="04DD7379"/>
    <w:rsid w:val="0525502E"/>
    <w:rsid w:val="054D737D"/>
    <w:rsid w:val="05582D19"/>
    <w:rsid w:val="057F6DC9"/>
    <w:rsid w:val="05A74C3A"/>
    <w:rsid w:val="05F9036B"/>
    <w:rsid w:val="0627193B"/>
    <w:rsid w:val="062762FA"/>
    <w:rsid w:val="062B2268"/>
    <w:rsid w:val="068B011B"/>
    <w:rsid w:val="06F71EA4"/>
    <w:rsid w:val="072A7934"/>
    <w:rsid w:val="07C0789B"/>
    <w:rsid w:val="07E3096C"/>
    <w:rsid w:val="07EEFAB7"/>
    <w:rsid w:val="08071A24"/>
    <w:rsid w:val="080E1D24"/>
    <w:rsid w:val="08761B05"/>
    <w:rsid w:val="08B651F8"/>
    <w:rsid w:val="08E31844"/>
    <w:rsid w:val="09542EF3"/>
    <w:rsid w:val="09750C0F"/>
    <w:rsid w:val="097A0F77"/>
    <w:rsid w:val="09AF4F5F"/>
    <w:rsid w:val="0A0C3A82"/>
    <w:rsid w:val="0A2A37A7"/>
    <w:rsid w:val="0AAC2260"/>
    <w:rsid w:val="0AD876A7"/>
    <w:rsid w:val="0B0C7351"/>
    <w:rsid w:val="0B3563FB"/>
    <w:rsid w:val="0B6048A8"/>
    <w:rsid w:val="0BAD0004"/>
    <w:rsid w:val="0BB11265"/>
    <w:rsid w:val="0BE419E9"/>
    <w:rsid w:val="0BF50913"/>
    <w:rsid w:val="0C383CE8"/>
    <w:rsid w:val="0C551C8F"/>
    <w:rsid w:val="0C594818"/>
    <w:rsid w:val="0C715910"/>
    <w:rsid w:val="0C7B6CC9"/>
    <w:rsid w:val="0D202E4A"/>
    <w:rsid w:val="0D57699A"/>
    <w:rsid w:val="0D7657B7"/>
    <w:rsid w:val="0D7731A8"/>
    <w:rsid w:val="0D8A53B5"/>
    <w:rsid w:val="0D9F4D32"/>
    <w:rsid w:val="0DAD6BC9"/>
    <w:rsid w:val="0DBDB8EA"/>
    <w:rsid w:val="0DF297F0"/>
    <w:rsid w:val="0E56374A"/>
    <w:rsid w:val="0E766D90"/>
    <w:rsid w:val="0E833DCE"/>
    <w:rsid w:val="0F7711BB"/>
    <w:rsid w:val="0FD56855"/>
    <w:rsid w:val="0FFF76F2"/>
    <w:rsid w:val="10044A9B"/>
    <w:rsid w:val="108252CD"/>
    <w:rsid w:val="10D36DC7"/>
    <w:rsid w:val="111B2829"/>
    <w:rsid w:val="1133741E"/>
    <w:rsid w:val="1156187E"/>
    <w:rsid w:val="11695D8D"/>
    <w:rsid w:val="11C479A6"/>
    <w:rsid w:val="11F03528"/>
    <w:rsid w:val="12BA405B"/>
    <w:rsid w:val="12D10515"/>
    <w:rsid w:val="12D26557"/>
    <w:rsid w:val="13155A7D"/>
    <w:rsid w:val="13904FC3"/>
    <w:rsid w:val="140D0306"/>
    <w:rsid w:val="14803BD5"/>
    <w:rsid w:val="14A112D6"/>
    <w:rsid w:val="14B46A8F"/>
    <w:rsid w:val="154100A3"/>
    <w:rsid w:val="157EF39E"/>
    <w:rsid w:val="15B42ABF"/>
    <w:rsid w:val="160A12ED"/>
    <w:rsid w:val="16170483"/>
    <w:rsid w:val="169C7529"/>
    <w:rsid w:val="16D14137"/>
    <w:rsid w:val="17056F98"/>
    <w:rsid w:val="176D7935"/>
    <w:rsid w:val="17C149C4"/>
    <w:rsid w:val="17C61419"/>
    <w:rsid w:val="17EF6629"/>
    <w:rsid w:val="17FB12A1"/>
    <w:rsid w:val="180B2865"/>
    <w:rsid w:val="181B6E25"/>
    <w:rsid w:val="182B350C"/>
    <w:rsid w:val="184E71FB"/>
    <w:rsid w:val="189238DC"/>
    <w:rsid w:val="18A62B93"/>
    <w:rsid w:val="18BE2F00"/>
    <w:rsid w:val="191F46F3"/>
    <w:rsid w:val="1932711D"/>
    <w:rsid w:val="19682993"/>
    <w:rsid w:val="19835470"/>
    <w:rsid w:val="1A8E100A"/>
    <w:rsid w:val="1ABF0D37"/>
    <w:rsid w:val="1AD053A2"/>
    <w:rsid w:val="1B8A4D4A"/>
    <w:rsid w:val="1BDD53C2"/>
    <w:rsid w:val="1C817B9F"/>
    <w:rsid w:val="1C8A4B0E"/>
    <w:rsid w:val="1D332F76"/>
    <w:rsid w:val="1D77732D"/>
    <w:rsid w:val="1D7E5E8C"/>
    <w:rsid w:val="1DAF6E30"/>
    <w:rsid w:val="1DBD1C98"/>
    <w:rsid w:val="1DEF28E6"/>
    <w:rsid w:val="1E236A34"/>
    <w:rsid w:val="1E4A5D6E"/>
    <w:rsid w:val="1E70494D"/>
    <w:rsid w:val="1EF64F4D"/>
    <w:rsid w:val="1EFA011D"/>
    <w:rsid w:val="1F6F7287"/>
    <w:rsid w:val="1F791236"/>
    <w:rsid w:val="1F7F6067"/>
    <w:rsid w:val="1FBF278C"/>
    <w:rsid w:val="1FD75A38"/>
    <w:rsid w:val="200579A4"/>
    <w:rsid w:val="20212F51"/>
    <w:rsid w:val="20425C4B"/>
    <w:rsid w:val="205E1FA5"/>
    <w:rsid w:val="20987265"/>
    <w:rsid w:val="20A20768"/>
    <w:rsid w:val="210E5779"/>
    <w:rsid w:val="21332B26"/>
    <w:rsid w:val="21613AFB"/>
    <w:rsid w:val="21617F9F"/>
    <w:rsid w:val="216E5913"/>
    <w:rsid w:val="21787096"/>
    <w:rsid w:val="217A57F1"/>
    <w:rsid w:val="21DF4936"/>
    <w:rsid w:val="22295984"/>
    <w:rsid w:val="226706B5"/>
    <w:rsid w:val="22D2364A"/>
    <w:rsid w:val="23226344"/>
    <w:rsid w:val="232E3EB1"/>
    <w:rsid w:val="23572BF0"/>
    <w:rsid w:val="23B87C1E"/>
    <w:rsid w:val="23DF47A5"/>
    <w:rsid w:val="23FC5481"/>
    <w:rsid w:val="241F6046"/>
    <w:rsid w:val="24613E12"/>
    <w:rsid w:val="24652F34"/>
    <w:rsid w:val="2471674B"/>
    <w:rsid w:val="24E855D1"/>
    <w:rsid w:val="25317C88"/>
    <w:rsid w:val="255E4830"/>
    <w:rsid w:val="25656373"/>
    <w:rsid w:val="25D2723C"/>
    <w:rsid w:val="25DE7A7D"/>
    <w:rsid w:val="261B2D32"/>
    <w:rsid w:val="26211FF8"/>
    <w:rsid w:val="264F077F"/>
    <w:rsid w:val="26800617"/>
    <w:rsid w:val="26922293"/>
    <w:rsid w:val="26C54B2C"/>
    <w:rsid w:val="26C863CA"/>
    <w:rsid w:val="26CE2212"/>
    <w:rsid w:val="27391076"/>
    <w:rsid w:val="274804B3"/>
    <w:rsid w:val="27BA3F65"/>
    <w:rsid w:val="27DC09F1"/>
    <w:rsid w:val="27EB7B0B"/>
    <w:rsid w:val="2801052A"/>
    <w:rsid w:val="28150722"/>
    <w:rsid w:val="281854F8"/>
    <w:rsid w:val="284303FE"/>
    <w:rsid w:val="28546167"/>
    <w:rsid w:val="289577B1"/>
    <w:rsid w:val="28CE2667"/>
    <w:rsid w:val="28F10590"/>
    <w:rsid w:val="29066C0A"/>
    <w:rsid w:val="296238C0"/>
    <w:rsid w:val="296C1899"/>
    <w:rsid w:val="296E57AB"/>
    <w:rsid w:val="297E76A4"/>
    <w:rsid w:val="29BD521F"/>
    <w:rsid w:val="29F77DD1"/>
    <w:rsid w:val="2A173C1D"/>
    <w:rsid w:val="2A2E5D90"/>
    <w:rsid w:val="2A425FA7"/>
    <w:rsid w:val="2A659CDB"/>
    <w:rsid w:val="2A984622"/>
    <w:rsid w:val="2AA8279A"/>
    <w:rsid w:val="2AAD7DB1"/>
    <w:rsid w:val="2AFF05A7"/>
    <w:rsid w:val="2BA35D05"/>
    <w:rsid w:val="2BB65A6B"/>
    <w:rsid w:val="2C59169B"/>
    <w:rsid w:val="2C920EB8"/>
    <w:rsid w:val="2C9C2CAD"/>
    <w:rsid w:val="2CAE7E10"/>
    <w:rsid w:val="2CB03B88"/>
    <w:rsid w:val="2CDD26FD"/>
    <w:rsid w:val="2D113461"/>
    <w:rsid w:val="2D4267B5"/>
    <w:rsid w:val="2D6E65B8"/>
    <w:rsid w:val="2D721E84"/>
    <w:rsid w:val="2D7D0CC1"/>
    <w:rsid w:val="2E6E3CFC"/>
    <w:rsid w:val="2E920FEF"/>
    <w:rsid w:val="2EBFBEC7"/>
    <w:rsid w:val="2ED55B28"/>
    <w:rsid w:val="2EDFA41F"/>
    <w:rsid w:val="2EFE41BA"/>
    <w:rsid w:val="2F9B28CE"/>
    <w:rsid w:val="2FA871C8"/>
    <w:rsid w:val="2FAB07E5"/>
    <w:rsid w:val="2FDEAD76"/>
    <w:rsid w:val="2FFB9859"/>
    <w:rsid w:val="30314FE0"/>
    <w:rsid w:val="30CE151F"/>
    <w:rsid w:val="317A32A7"/>
    <w:rsid w:val="31F9105C"/>
    <w:rsid w:val="321A0757"/>
    <w:rsid w:val="32365BE1"/>
    <w:rsid w:val="323A49BF"/>
    <w:rsid w:val="32B67A1F"/>
    <w:rsid w:val="32C97E05"/>
    <w:rsid w:val="33162F4F"/>
    <w:rsid w:val="332D7CE1"/>
    <w:rsid w:val="332E2225"/>
    <w:rsid w:val="333F5C29"/>
    <w:rsid w:val="33AD3925"/>
    <w:rsid w:val="33E91DB4"/>
    <w:rsid w:val="34A57D4B"/>
    <w:rsid w:val="34AA5361"/>
    <w:rsid w:val="34EC175C"/>
    <w:rsid w:val="34ED5D9C"/>
    <w:rsid w:val="34F52A80"/>
    <w:rsid w:val="351638F3"/>
    <w:rsid w:val="35386E11"/>
    <w:rsid w:val="35432434"/>
    <w:rsid w:val="355E7949"/>
    <w:rsid w:val="356A1B15"/>
    <w:rsid w:val="35B78146"/>
    <w:rsid w:val="35C13E98"/>
    <w:rsid w:val="35D60BB0"/>
    <w:rsid w:val="35EF78BE"/>
    <w:rsid w:val="36441D72"/>
    <w:rsid w:val="367AD717"/>
    <w:rsid w:val="369C4EEE"/>
    <w:rsid w:val="36C66573"/>
    <w:rsid w:val="37265173"/>
    <w:rsid w:val="37274535"/>
    <w:rsid w:val="37284B11"/>
    <w:rsid w:val="37593EA4"/>
    <w:rsid w:val="377C70F3"/>
    <w:rsid w:val="37C74905"/>
    <w:rsid w:val="37C9C839"/>
    <w:rsid w:val="37CE0B86"/>
    <w:rsid w:val="37CF433C"/>
    <w:rsid w:val="37D64F6F"/>
    <w:rsid w:val="381B27FE"/>
    <w:rsid w:val="38626B22"/>
    <w:rsid w:val="38AF73EA"/>
    <w:rsid w:val="38D13B53"/>
    <w:rsid w:val="39EB79BB"/>
    <w:rsid w:val="3A03179B"/>
    <w:rsid w:val="3A7528EA"/>
    <w:rsid w:val="3A9A1811"/>
    <w:rsid w:val="3A9B5521"/>
    <w:rsid w:val="3AD165A6"/>
    <w:rsid w:val="3AF9179F"/>
    <w:rsid w:val="3AFF6F01"/>
    <w:rsid w:val="3B1B0D54"/>
    <w:rsid w:val="3B3468C4"/>
    <w:rsid w:val="3B563E96"/>
    <w:rsid w:val="3B610786"/>
    <w:rsid w:val="3B6A5354"/>
    <w:rsid w:val="3B705496"/>
    <w:rsid w:val="3B7B1805"/>
    <w:rsid w:val="3B9A0A43"/>
    <w:rsid w:val="3BC30C37"/>
    <w:rsid w:val="3BD727B4"/>
    <w:rsid w:val="3BDF0D67"/>
    <w:rsid w:val="3C2852E8"/>
    <w:rsid w:val="3C444F5C"/>
    <w:rsid w:val="3C5B9594"/>
    <w:rsid w:val="3C6A5B02"/>
    <w:rsid w:val="3C6C6D62"/>
    <w:rsid w:val="3C7C023B"/>
    <w:rsid w:val="3C8E39A2"/>
    <w:rsid w:val="3CBBAA62"/>
    <w:rsid w:val="3CFF4921"/>
    <w:rsid w:val="3CFFB7D9"/>
    <w:rsid w:val="3D750A43"/>
    <w:rsid w:val="3DA71FAC"/>
    <w:rsid w:val="3DB867B4"/>
    <w:rsid w:val="3DEE4511"/>
    <w:rsid w:val="3DEFC0C6"/>
    <w:rsid w:val="3DF76220"/>
    <w:rsid w:val="3DFA8021"/>
    <w:rsid w:val="3DFFE5E9"/>
    <w:rsid w:val="3E012D5B"/>
    <w:rsid w:val="3E0A6A5F"/>
    <w:rsid w:val="3E3068D7"/>
    <w:rsid w:val="3E3C5643"/>
    <w:rsid w:val="3E642F63"/>
    <w:rsid w:val="3E8E509E"/>
    <w:rsid w:val="3EB218F1"/>
    <w:rsid w:val="3EDF6E28"/>
    <w:rsid w:val="3EE60148"/>
    <w:rsid w:val="3EF27023"/>
    <w:rsid w:val="3EF54C7F"/>
    <w:rsid w:val="3EFC4846"/>
    <w:rsid w:val="3EFD8BA1"/>
    <w:rsid w:val="3F151657"/>
    <w:rsid w:val="3F729A6C"/>
    <w:rsid w:val="3F7EF5C4"/>
    <w:rsid w:val="3F7F268E"/>
    <w:rsid w:val="3F8457B2"/>
    <w:rsid w:val="3F957C93"/>
    <w:rsid w:val="3FBDFAC7"/>
    <w:rsid w:val="3FBF2E5E"/>
    <w:rsid w:val="3FBFEFB4"/>
    <w:rsid w:val="3FC80D6B"/>
    <w:rsid w:val="3FCD46CC"/>
    <w:rsid w:val="3FCFBF7F"/>
    <w:rsid w:val="3FE765F3"/>
    <w:rsid w:val="3FEF5A86"/>
    <w:rsid w:val="40357F3C"/>
    <w:rsid w:val="40B07022"/>
    <w:rsid w:val="40C97A7E"/>
    <w:rsid w:val="40D043A1"/>
    <w:rsid w:val="40D45C40"/>
    <w:rsid w:val="40D549B3"/>
    <w:rsid w:val="40F63E08"/>
    <w:rsid w:val="41695E72"/>
    <w:rsid w:val="41B3766E"/>
    <w:rsid w:val="41E00614"/>
    <w:rsid w:val="42524100"/>
    <w:rsid w:val="42843687"/>
    <w:rsid w:val="42DB39B4"/>
    <w:rsid w:val="42F16A2D"/>
    <w:rsid w:val="42FA5706"/>
    <w:rsid w:val="430C7D23"/>
    <w:rsid w:val="43566DE0"/>
    <w:rsid w:val="43594A26"/>
    <w:rsid w:val="435B2648"/>
    <w:rsid w:val="43802B87"/>
    <w:rsid w:val="43882DB3"/>
    <w:rsid w:val="43DB1F7B"/>
    <w:rsid w:val="44240ED7"/>
    <w:rsid w:val="445B5F30"/>
    <w:rsid w:val="44B47333"/>
    <w:rsid w:val="44B950F2"/>
    <w:rsid w:val="44CD0EC3"/>
    <w:rsid w:val="44D85AD7"/>
    <w:rsid w:val="44ED1419"/>
    <w:rsid w:val="45332FDE"/>
    <w:rsid w:val="45965BB9"/>
    <w:rsid w:val="45B15B6C"/>
    <w:rsid w:val="45F32FB9"/>
    <w:rsid w:val="460070DB"/>
    <w:rsid w:val="469A5235"/>
    <w:rsid w:val="46D30747"/>
    <w:rsid w:val="47092D60"/>
    <w:rsid w:val="471D154E"/>
    <w:rsid w:val="471F398D"/>
    <w:rsid w:val="472506CE"/>
    <w:rsid w:val="472C37D4"/>
    <w:rsid w:val="47955547"/>
    <w:rsid w:val="47A15F5D"/>
    <w:rsid w:val="480908C5"/>
    <w:rsid w:val="48241C92"/>
    <w:rsid w:val="48515DC8"/>
    <w:rsid w:val="489E6858"/>
    <w:rsid w:val="48E1714C"/>
    <w:rsid w:val="49025314"/>
    <w:rsid w:val="49800C49"/>
    <w:rsid w:val="4996759C"/>
    <w:rsid w:val="49A63CEF"/>
    <w:rsid w:val="49FBD57E"/>
    <w:rsid w:val="4A3A5E1F"/>
    <w:rsid w:val="4A5C4E85"/>
    <w:rsid w:val="4A965539"/>
    <w:rsid w:val="4AA825E0"/>
    <w:rsid w:val="4ABA7782"/>
    <w:rsid w:val="4AEF6E9C"/>
    <w:rsid w:val="4B103C44"/>
    <w:rsid w:val="4B5B334E"/>
    <w:rsid w:val="4B8B6D1F"/>
    <w:rsid w:val="4BBD6402"/>
    <w:rsid w:val="4BFC69D9"/>
    <w:rsid w:val="4C5415E9"/>
    <w:rsid w:val="4C6E7906"/>
    <w:rsid w:val="4C7674F6"/>
    <w:rsid w:val="4CD03B3A"/>
    <w:rsid w:val="4D7C8724"/>
    <w:rsid w:val="4DF561B0"/>
    <w:rsid w:val="4E105A62"/>
    <w:rsid w:val="4E1A14F5"/>
    <w:rsid w:val="4E1A5DD4"/>
    <w:rsid w:val="4E423A79"/>
    <w:rsid w:val="4E712770"/>
    <w:rsid w:val="4EBE7F2F"/>
    <w:rsid w:val="4EE96D5A"/>
    <w:rsid w:val="4F072AE9"/>
    <w:rsid w:val="4F202067"/>
    <w:rsid w:val="4F783C13"/>
    <w:rsid w:val="4F8C4473"/>
    <w:rsid w:val="4F92137B"/>
    <w:rsid w:val="4F9273F2"/>
    <w:rsid w:val="4FCB7A7E"/>
    <w:rsid w:val="4FF27F96"/>
    <w:rsid w:val="4FF927D2"/>
    <w:rsid w:val="4FFF740A"/>
    <w:rsid w:val="50D14993"/>
    <w:rsid w:val="50D852D8"/>
    <w:rsid w:val="50ED1411"/>
    <w:rsid w:val="520558E7"/>
    <w:rsid w:val="523F1279"/>
    <w:rsid w:val="52522E68"/>
    <w:rsid w:val="5279780F"/>
    <w:rsid w:val="52990A97"/>
    <w:rsid w:val="52AD62F0"/>
    <w:rsid w:val="52DF6B5D"/>
    <w:rsid w:val="52FB6FE0"/>
    <w:rsid w:val="53083527"/>
    <w:rsid w:val="531A5C98"/>
    <w:rsid w:val="53713278"/>
    <w:rsid w:val="539D45B7"/>
    <w:rsid w:val="53A935E3"/>
    <w:rsid w:val="53AF6395"/>
    <w:rsid w:val="53BA1CB2"/>
    <w:rsid w:val="53BC5984"/>
    <w:rsid w:val="53C2401E"/>
    <w:rsid w:val="53D81D99"/>
    <w:rsid w:val="53FA49DB"/>
    <w:rsid w:val="542D76E9"/>
    <w:rsid w:val="5435017C"/>
    <w:rsid w:val="54381720"/>
    <w:rsid w:val="54594407"/>
    <w:rsid w:val="546A1928"/>
    <w:rsid w:val="54E31417"/>
    <w:rsid w:val="551211C7"/>
    <w:rsid w:val="554F178F"/>
    <w:rsid w:val="55503450"/>
    <w:rsid w:val="557B0928"/>
    <w:rsid w:val="557C164F"/>
    <w:rsid w:val="5594A303"/>
    <w:rsid w:val="55CFBE98"/>
    <w:rsid w:val="55FD133D"/>
    <w:rsid w:val="561303A0"/>
    <w:rsid w:val="567B181A"/>
    <w:rsid w:val="567E6E7B"/>
    <w:rsid w:val="56CE4A87"/>
    <w:rsid w:val="5754540F"/>
    <w:rsid w:val="576871E7"/>
    <w:rsid w:val="57D82C3B"/>
    <w:rsid w:val="57DF5BE8"/>
    <w:rsid w:val="57FC1CDA"/>
    <w:rsid w:val="58282BD8"/>
    <w:rsid w:val="58BA3515"/>
    <w:rsid w:val="58BB5629"/>
    <w:rsid w:val="58BBB063"/>
    <w:rsid w:val="58FF3F0B"/>
    <w:rsid w:val="590A624B"/>
    <w:rsid w:val="59170968"/>
    <w:rsid w:val="591A4584"/>
    <w:rsid w:val="594235D8"/>
    <w:rsid w:val="59A321FB"/>
    <w:rsid w:val="59D50EBA"/>
    <w:rsid w:val="59ED51B4"/>
    <w:rsid w:val="59F7E9EB"/>
    <w:rsid w:val="59FEB7DE"/>
    <w:rsid w:val="5A0B086C"/>
    <w:rsid w:val="5A570F2B"/>
    <w:rsid w:val="5A7E53FE"/>
    <w:rsid w:val="5A931836"/>
    <w:rsid w:val="5AAE684C"/>
    <w:rsid w:val="5ADF1011"/>
    <w:rsid w:val="5AEEBD13"/>
    <w:rsid w:val="5B391F74"/>
    <w:rsid w:val="5B5B6984"/>
    <w:rsid w:val="5B976F2D"/>
    <w:rsid w:val="5BB633EE"/>
    <w:rsid w:val="5BB7E574"/>
    <w:rsid w:val="5BB91185"/>
    <w:rsid w:val="5BBB5B83"/>
    <w:rsid w:val="5BBDBC6E"/>
    <w:rsid w:val="5BC94BEF"/>
    <w:rsid w:val="5BCC5E55"/>
    <w:rsid w:val="5BCFD844"/>
    <w:rsid w:val="5BD668B8"/>
    <w:rsid w:val="5BD715DF"/>
    <w:rsid w:val="5C5C2089"/>
    <w:rsid w:val="5C6A5CE9"/>
    <w:rsid w:val="5CE1268C"/>
    <w:rsid w:val="5CE51788"/>
    <w:rsid w:val="5CE91B96"/>
    <w:rsid w:val="5D116990"/>
    <w:rsid w:val="5D1DBDF9"/>
    <w:rsid w:val="5D485594"/>
    <w:rsid w:val="5D73F165"/>
    <w:rsid w:val="5DB1055F"/>
    <w:rsid w:val="5DDBAAC0"/>
    <w:rsid w:val="5DDF7DD9"/>
    <w:rsid w:val="5DF5F6A7"/>
    <w:rsid w:val="5E2F632F"/>
    <w:rsid w:val="5E4D0B10"/>
    <w:rsid w:val="5E7DBB6D"/>
    <w:rsid w:val="5E8C7EDF"/>
    <w:rsid w:val="5E8E347A"/>
    <w:rsid w:val="5F650FB7"/>
    <w:rsid w:val="5F6B5E7C"/>
    <w:rsid w:val="5F7F4275"/>
    <w:rsid w:val="5F7FCC52"/>
    <w:rsid w:val="5F8B5D30"/>
    <w:rsid w:val="5F904FD0"/>
    <w:rsid w:val="5F9B1107"/>
    <w:rsid w:val="5FA44BD0"/>
    <w:rsid w:val="5FA578E6"/>
    <w:rsid w:val="5FA6034F"/>
    <w:rsid w:val="5FADC337"/>
    <w:rsid w:val="5FB71BCD"/>
    <w:rsid w:val="5FB7AFEE"/>
    <w:rsid w:val="5FCFDC1A"/>
    <w:rsid w:val="5FE7F3F4"/>
    <w:rsid w:val="5FFB9170"/>
    <w:rsid w:val="5FFE1512"/>
    <w:rsid w:val="5FFE51E8"/>
    <w:rsid w:val="5FFEAAC4"/>
    <w:rsid w:val="5FFF6CD2"/>
    <w:rsid w:val="5FFFDD2F"/>
    <w:rsid w:val="60716E9B"/>
    <w:rsid w:val="6109328C"/>
    <w:rsid w:val="61287405"/>
    <w:rsid w:val="615269E1"/>
    <w:rsid w:val="61616C24"/>
    <w:rsid w:val="61822D3A"/>
    <w:rsid w:val="61970898"/>
    <w:rsid w:val="61BF1B9C"/>
    <w:rsid w:val="6293229F"/>
    <w:rsid w:val="62D13935"/>
    <w:rsid w:val="62F917AF"/>
    <w:rsid w:val="62FD0677"/>
    <w:rsid w:val="636C34D6"/>
    <w:rsid w:val="63A31917"/>
    <w:rsid w:val="63B514A9"/>
    <w:rsid w:val="642B3519"/>
    <w:rsid w:val="64684EB8"/>
    <w:rsid w:val="646B4A62"/>
    <w:rsid w:val="64D95241"/>
    <w:rsid w:val="650374F5"/>
    <w:rsid w:val="650E0E71"/>
    <w:rsid w:val="65346E5E"/>
    <w:rsid w:val="65AC6970"/>
    <w:rsid w:val="65FDF7C0"/>
    <w:rsid w:val="66155D39"/>
    <w:rsid w:val="661A3845"/>
    <w:rsid w:val="662E73A4"/>
    <w:rsid w:val="66821605"/>
    <w:rsid w:val="6695111E"/>
    <w:rsid w:val="669643D9"/>
    <w:rsid w:val="669925AE"/>
    <w:rsid w:val="671D3218"/>
    <w:rsid w:val="674943E2"/>
    <w:rsid w:val="676B4337"/>
    <w:rsid w:val="67703C5E"/>
    <w:rsid w:val="67AA4435"/>
    <w:rsid w:val="67FF3F0C"/>
    <w:rsid w:val="68004621"/>
    <w:rsid w:val="682D6E67"/>
    <w:rsid w:val="684D1C50"/>
    <w:rsid w:val="687F3E33"/>
    <w:rsid w:val="68B166E3"/>
    <w:rsid w:val="68CD3CFE"/>
    <w:rsid w:val="69164798"/>
    <w:rsid w:val="69296674"/>
    <w:rsid w:val="699E6A12"/>
    <w:rsid w:val="69B94D5A"/>
    <w:rsid w:val="69BE85E0"/>
    <w:rsid w:val="69C9180A"/>
    <w:rsid w:val="69DE634E"/>
    <w:rsid w:val="6A4E65F9"/>
    <w:rsid w:val="6AA36CF6"/>
    <w:rsid w:val="6AD34BF1"/>
    <w:rsid w:val="6B0356FA"/>
    <w:rsid w:val="6B2E6E98"/>
    <w:rsid w:val="6B5D3E54"/>
    <w:rsid w:val="6B6255A2"/>
    <w:rsid w:val="6B847004"/>
    <w:rsid w:val="6BB27BFC"/>
    <w:rsid w:val="6BBA9702"/>
    <w:rsid w:val="6BBE347A"/>
    <w:rsid w:val="6BE54CAD"/>
    <w:rsid w:val="6BED9214"/>
    <w:rsid w:val="6BF8C5E1"/>
    <w:rsid w:val="6BFB3E03"/>
    <w:rsid w:val="6BFF258C"/>
    <w:rsid w:val="6C900EC4"/>
    <w:rsid w:val="6D2841F4"/>
    <w:rsid w:val="6D5B2074"/>
    <w:rsid w:val="6D77157D"/>
    <w:rsid w:val="6D790B98"/>
    <w:rsid w:val="6D8642D2"/>
    <w:rsid w:val="6D992A02"/>
    <w:rsid w:val="6DBE59C4"/>
    <w:rsid w:val="6DDB1B72"/>
    <w:rsid w:val="6E0E7C79"/>
    <w:rsid w:val="6E253A9E"/>
    <w:rsid w:val="6E4C63EC"/>
    <w:rsid w:val="6E788B54"/>
    <w:rsid w:val="6E7E66D7"/>
    <w:rsid w:val="6E7F95D2"/>
    <w:rsid w:val="6EA2524F"/>
    <w:rsid w:val="6ED749C9"/>
    <w:rsid w:val="6EDA2C9F"/>
    <w:rsid w:val="6EFA6397"/>
    <w:rsid w:val="6EFD0786"/>
    <w:rsid w:val="6EFED07E"/>
    <w:rsid w:val="6F4F7D7E"/>
    <w:rsid w:val="6F5F74BD"/>
    <w:rsid w:val="6F7F44EA"/>
    <w:rsid w:val="6F95C861"/>
    <w:rsid w:val="6FAB8459"/>
    <w:rsid w:val="6FB645DF"/>
    <w:rsid w:val="6FDF7999"/>
    <w:rsid w:val="6FE58E82"/>
    <w:rsid w:val="6FEBC4B8"/>
    <w:rsid w:val="6FEEE97D"/>
    <w:rsid w:val="6FF3A864"/>
    <w:rsid w:val="6FF94B2C"/>
    <w:rsid w:val="6FFB2367"/>
    <w:rsid w:val="6FFE3702"/>
    <w:rsid w:val="6FFF3D87"/>
    <w:rsid w:val="6FFFB19B"/>
    <w:rsid w:val="7036571F"/>
    <w:rsid w:val="7043204E"/>
    <w:rsid w:val="70741DA4"/>
    <w:rsid w:val="709B42B9"/>
    <w:rsid w:val="70E7774B"/>
    <w:rsid w:val="7115222A"/>
    <w:rsid w:val="7128150C"/>
    <w:rsid w:val="714125CE"/>
    <w:rsid w:val="714276FC"/>
    <w:rsid w:val="71746CBE"/>
    <w:rsid w:val="71866233"/>
    <w:rsid w:val="71CBEC01"/>
    <w:rsid w:val="72111FA0"/>
    <w:rsid w:val="72165809"/>
    <w:rsid w:val="721D276C"/>
    <w:rsid w:val="72532513"/>
    <w:rsid w:val="7266392C"/>
    <w:rsid w:val="726C5D38"/>
    <w:rsid w:val="7275252F"/>
    <w:rsid w:val="727950DA"/>
    <w:rsid w:val="727F1380"/>
    <w:rsid w:val="72DC37A2"/>
    <w:rsid w:val="72F717AC"/>
    <w:rsid w:val="72FDB26D"/>
    <w:rsid w:val="73168DD4"/>
    <w:rsid w:val="73375A36"/>
    <w:rsid w:val="73463D8D"/>
    <w:rsid w:val="739C711E"/>
    <w:rsid w:val="73CD287D"/>
    <w:rsid w:val="73D105E1"/>
    <w:rsid w:val="73E582A1"/>
    <w:rsid w:val="73FEA753"/>
    <w:rsid w:val="73FF2053"/>
    <w:rsid w:val="745E346F"/>
    <w:rsid w:val="74E67714"/>
    <w:rsid w:val="74F33BDF"/>
    <w:rsid w:val="75303D37"/>
    <w:rsid w:val="75585799"/>
    <w:rsid w:val="75664D60"/>
    <w:rsid w:val="75C8039D"/>
    <w:rsid w:val="75D010C5"/>
    <w:rsid w:val="75EF13AA"/>
    <w:rsid w:val="75FD79DE"/>
    <w:rsid w:val="75FDDD62"/>
    <w:rsid w:val="763149BF"/>
    <w:rsid w:val="76513143"/>
    <w:rsid w:val="76557CDB"/>
    <w:rsid w:val="7676EA16"/>
    <w:rsid w:val="767D629E"/>
    <w:rsid w:val="7682005B"/>
    <w:rsid w:val="76C27A4E"/>
    <w:rsid w:val="76F7D74A"/>
    <w:rsid w:val="770E24E0"/>
    <w:rsid w:val="77710A2A"/>
    <w:rsid w:val="777B7826"/>
    <w:rsid w:val="77AC4E50"/>
    <w:rsid w:val="77AD4519"/>
    <w:rsid w:val="77AE5B7C"/>
    <w:rsid w:val="77BFE286"/>
    <w:rsid w:val="77EF7A5B"/>
    <w:rsid w:val="77F7122D"/>
    <w:rsid w:val="77F79F02"/>
    <w:rsid w:val="77FBB17C"/>
    <w:rsid w:val="78560FB9"/>
    <w:rsid w:val="789D79AB"/>
    <w:rsid w:val="78BBF5F2"/>
    <w:rsid w:val="78CE7F55"/>
    <w:rsid w:val="78E21FA1"/>
    <w:rsid w:val="78F60ADB"/>
    <w:rsid w:val="791F31F5"/>
    <w:rsid w:val="7965783E"/>
    <w:rsid w:val="798F6D4A"/>
    <w:rsid w:val="79BC6760"/>
    <w:rsid w:val="79DF12C1"/>
    <w:rsid w:val="79FDEE7D"/>
    <w:rsid w:val="79FF5BC6"/>
    <w:rsid w:val="7A4B0019"/>
    <w:rsid w:val="7A7B08FF"/>
    <w:rsid w:val="7A8D5BB0"/>
    <w:rsid w:val="7A9D67A7"/>
    <w:rsid w:val="7A9E2D47"/>
    <w:rsid w:val="7AB986FD"/>
    <w:rsid w:val="7AEE3B12"/>
    <w:rsid w:val="7AFD209D"/>
    <w:rsid w:val="7B2F1614"/>
    <w:rsid w:val="7B5F1B6B"/>
    <w:rsid w:val="7B5F5C0A"/>
    <w:rsid w:val="7B7FD12D"/>
    <w:rsid w:val="7BB10350"/>
    <w:rsid w:val="7BBD30E4"/>
    <w:rsid w:val="7BBE533E"/>
    <w:rsid w:val="7BD71CFD"/>
    <w:rsid w:val="7BEFC842"/>
    <w:rsid w:val="7BF74842"/>
    <w:rsid w:val="7BFF5F4C"/>
    <w:rsid w:val="7BFFC544"/>
    <w:rsid w:val="7C2A0CB1"/>
    <w:rsid w:val="7C2D4577"/>
    <w:rsid w:val="7C727ADF"/>
    <w:rsid w:val="7C78B426"/>
    <w:rsid w:val="7C7A4BE6"/>
    <w:rsid w:val="7C7D3DD0"/>
    <w:rsid w:val="7CAF6CE9"/>
    <w:rsid w:val="7CD39EC0"/>
    <w:rsid w:val="7CEF8A91"/>
    <w:rsid w:val="7CF90201"/>
    <w:rsid w:val="7CFE4D9C"/>
    <w:rsid w:val="7D007254"/>
    <w:rsid w:val="7D1D3EEF"/>
    <w:rsid w:val="7D2F3C22"/>
    <w:rsid w:val="7D4DD91E"/>
    <w:rsid w:val="7D5F4B20"/>
    <w:rsid w:val="7D6B73EA"/>
    <w:rsid w:val="7D6F2271"/>
    <w:rsid w:val="7D7D6B05"/>
    <w:rsid w:val="7D7F5646"/>
    <w:rsid w:val="7D7FC3B4"/>
    <w:rsid w:val="7DBA7684"/>
    <w:rsid w:val="7DBB098A"/>
    <w:rsid w:val="7DCF34B8"/>
    <w:rsid w:val="7DD20CE0"/>
    <w:rsid w:val="7DDF3346"/>
    <w:rsid w:val="7DE6C578"/>
    <w:rsid w:val="7DE956CE"/>
    <w:rsid w:val="7DF32A55"/>
    <w:rsid w:val="7DF5D058"/>
    <w:rsid w:val="7DF759D2"/>
    <w:rsid w:val="7DFBF677"/>
    <w:rsid w:val="7DFD6142"/>
    <w:rsid w:val="7DFF67E2"/>
    <w:rsid w:val="7E064532"/>
    <w:rsid w:val="7E0B01EB"/>
    <w:rsid w:val="7E46EB1B"/>
    <w:rsid w:val="7E4905BC"/>
    <w:rsid w:val="7E4A0A44"/>
    <w:rsid w:val="7E5F1619"/>
    <w:rsid w:val="7E7703C1"/>
    <w:rsid w:val="7E833535"/>
    <w:rsid w:val="7EB01328"/>
    <w:rsid w:val="7EC87E8B"/>
    <w:rsid w:val="7ED7104D"/>
    <w:rsid w:val="7EDB7BBE"/>
    <w:rsid w:val="7EEFC008"/>
    <w:rsid w:val="7EF85F4B"/>
    <w:rsid w:val="7EFB453F"/>
    <w:rsid w:val="7EFB6B63"/>
    <w:rsid w:val="7EFBB321"/>
    <w:rsid w:val="7EFD10C1"/>
    <w:rsid w:val="7EFF2038"/>
    <w:rsid w:val="7F274B52"/>
    <w:rsid w:val="7F5391CE"/>
    <w:rsid w:val="7F5F981A"/>
    <w:rsid w:val="7F5FDA56"/>
    <w:rsid w:val="7F6C2880"/>
    <w:rsid w:val="7F7179C4"/>
    <w:rsid w:val="7F75EABA"/>
    <w:rsid w:val="7F79A44F"/>
    <w:rsid w:val="7F7D92AB"/>
    <w:rsid w:val="7F7F1AAC"/>
    <w:rsid w:val="7F7F323D"/>
    <w:rsid w:val="7F7F7878"/>
    <w:rsid w:val="7F7FB514"/>
    <w:rsid w:val="7F9F3261"/>
    <w:rsid w:val="7FA15F6A"/>
    <w:rsid w:val="7FAFD1FA"/>
    <w:rsid w:val="7FCF1191"/>
    <w:rsid w:val="7FD76A90"/>
    <w:rsid w:val="7FDFB4AB"/>
    <w:rsid w:val="7FEB1B0E"/>
    <w:rsid w:val="7FEB7712"/>
    <w:rsid w:val="7FEC05E2"/>
    <w:rsid w:val="7FEC66EC"/>
    <w:rsid w:val="7FEE2FAA"/>
    <w:rsid w:val="7FF67B79"/>
    <w:rsid w:val="7FF6DE1D"/>
    <w:rsid w:val="7FF7E36D"/>
    <w:rsid w:val="7FFAB26A"/>
    <w:rsid w:val="7FFD20B8"/>
    <w:rsid w:val="7FFD3BB7"/>
    <w:rsid w:val="7FFF0E2A"/>
    <w:rsid w:val="7FFF238A"/>
    <w:rsid w:val="7FFF2F18"/>
    <w:rsid w:val="7FFF44CE"/>
    <w:rsid w:val="7FFF48BB"/>
    <w:rsid w:val="7FFF6F69"/>
    <w:rsid w:val="7FFFA883"/>
    <w:rsid w:val="81DB79CD"/>
    <w:rsid w:val="86FE48A2"/>
    <w:rsid w:val="96170276"/>
    <w:rsid w:val="96DC72D3"/>
    <w:rsid w:val="975FE2AC"/>
    <w:rsid w:val="9776743E"/>
    <w:rsid w:val="97FB4554"/>
    <w:rsid w:val="97FF5A51"/>
    <w:rsid w:val="98FF67C8"/>
    <w:rsid w:val="99F790FC"/>
    <w:rsid w:val="9DD786FA"/>
    <w:rsid w:val="9DEBBAAC"/>
    <w:rsid w:val="9DEE7D00"/>
    <w:rsid w:val="9DEFDAEB"/>
    <w:rsid w:val="9EAAF526"/>
    <w:rsid w:val="9EBFEC54"/>
    <w:rsid w:val="9EF77C1A"/>
    <w:rsid w:val="9FBFE67F"/>
    <w:rsid w:val="A26DB91F"/>
    <w:rsid w:val="A65F56E4"/>
    <w:rsid w:val="A6DCC818"/>
    <w:rsid w:val="A6FDE247"/>
    <w:rsid w:val="A77BE5B8"/>
    <w:rsid w:val="A7ACD9DA"/>
    <w:rsid w:val="A7EB56BD"/>
    <w:rsid w:val="ADEF2802"/>
    <w:rsid w:val="AF1F1859"/>
    <w:rsid w:val="AFEDCC8A"/>
    <w:rsid w:val="AFF35E8D"/>
    <w:rsid w:val="B2FFDBF5"/>
    <w:rsid w:val="B3B7945A"/>
    <w:rsid w:val="B3FB73D9"/>
    <w:rsid w:val="B4FCE6A6"/>
    <w:rsid w:val="B53F5E9D"/>
    <w:rsid w:val="B79F3686"/>
    <w:rsid w:val="B7FB776D"/>
    <w:rsid w:val="B7FD2A2C"/>
    <w:rsid w:val="B7FE10AC"/>
    <w:rsid w:val="B7FFB42F"/>
    <w:rsid w:val="B9ECD453"/>
    <w:rsid w:val="BAF5FBC2"/>
    <w:rsid w:val="BB3F27DF"/>
    <w:rsid w:val="BBEBF4C1"/>
    <w:rsid w:val="BBEE8999"/>
    <w:rsid w:val="BBF9E073"/>
    <w:rsid w:val="BD9F4A66"/>
    <w:rsid w:val="BDBFCF3D"/>
    <w:rsid w:val="BDE93B62"/>
    <w:rsid w:val="BDEE73F8"/>
    <w:rsid w:val="BEFE39E4"/>
    <w:rsid w:val="BF26A726"/>
    <w:rsid w:val="BF3A28D9"/>
    <w:rsid w:val="BF3F3030"/>
    <w:rsid w:val="BF67BFDE"/>
    <w:rsid w:val="BFBFD715"/>
    <w:rsid w:val="BFCEFC43"/>
    <w:rsid w:val="BFD20CDD"/>
    <w:rsid w:val="BFDF65B2"/>
    <w:rsid w:val="BFDFEBEF"/>
    <w:rsid w:val="BFEF761E"/>
    <w:rsid w:val="BFEF7A98"/>
    <w:rsid w:val="BFEFAA64"/>
    <w:rsid w:val="BFF70DA4"/>
    <w:rsid w:val="BFFD031A"/>
    <w:rsid w:val="BFFFC5B7"/>
    <w:rsid w:val="C3FEB153"/>
    <w:rsid w:val="C75D066C"/>
    <w:rsid w:val="C9CFC09E"/>
    <w:rsid w:val="CF6F8BE6"/>
    <w:rsid w:val="CFAF535C"/>
    <w:rsid w:val="CFD73B01"/>
    <w:rsid w:val="CFD7BFED"/>
    <w:rsid w:val="CFDBDF1B"/>
    <w:rsid w:val="CFF2AD7C"/>
    <w:rsid w:val="CFF2F131"/>
    <w:rsid w:val="CFFF9A90"/>
    <w:rsid w:val="D3763AF4"/>
    <w:rsid w:val="D3DFFC56"/>
    <w:rsid w:val="D5BFBF47"/>
    <w:rsid w:val="D7BF0C51"/>
    <w:rsid w:val="D7DF3F25"/>
    <w:rsid w:val="D7FF42D9"/>
    <w:rsid w:val="D7FF6947"/>
    <w:rsid w:val="D85B8E62"/>
    <w:rsid w:val="D8FA9452"/>
    <w:rsid w:val="D90DC141"/>
    <w:rsid w:val="DA27FBFA"/>
    <w:rsid w:val="DAF5BE44"/>
    <w:rsid w:val="DAF78908"/>
    <w:rsid w:val="DB97E1C9"/>
    <w:rsid w:val="DBC525D0"/>
    <w:rsid w:val="DBF4278A"/>
    <w:rsid w:val="DBF76A5C"/>
    <w:rsid w:val="DBFF1F47"/>
    <w:rsid w:val="DC734A1D"/>
    <w:rsid w:val="DCFCB4C0"/>
    <w:rsid w:val="DDB640B3"/>
    <w:rsid w:val="DDBDCE09"/>
    <w:rsid w:val="DDCFB698"/>
    <w:rsid w:val="DDD748AB"/>
    <w:rsid w:val="DDEDCC4D"/>
    <w:rsid w:val="DDFB8DED"/>
    <w:rsid w:val="DEFF0A43"/>
    <w:rsid w:val="DF8FD601"/>
    <w:rsid w:val="DFCE7882"/>
    <w:rsid w:val="DFD55EFF"/>
    <w:rsid w:val="DFE74725"/>
    <w:rsid w:val="DFF777A8"/>
    <w:rsid w:val="DFFD1348"/>
    <w:rsid w:val="DFFDE2F7"/>
    <w:rsid w:val="DFFF6855"/>
    <w:rsid w:val="DFFF827D"/>
    <w:rsid w:val="E6FD548C"/>
    <w:rsid w:val="E6FF6305"/>
    <w:rsid w:val="E74B1879"/>
    <w:rsid w:val="E7731444"/>
    <w:rsid w:val="E77E6835"/>
    <w:rsid w:val="E7DB62E9"/>
    <w:rsid w:val="E7FFB260"/>
    <w:rsid w:val="E8CD21CB"/>
    <w:rsid w:val="EB6DE53C"/>
    <w:rsid w:val="EBB586B0"/>
    <w:rsid w:val="EBFE6CC4"/>
    <w:rsid w:val="EC5FAB89"/>
    <w:rsid w:val="ED5F1CC9"/>
    <w:rsid w:val="ED7B834A"/>
    <w:rsid w:val="EDBB9E5D"/>
    <w:rsid w:val="EDCF684E"/>
    <w:rsid w:val="EEDF954F"/>
    <w:rsid w:val="EF376995"/>
    <w:rsid w:val="EF5F2E0D"/>
    <w:rsid w:val="EF5FA271"/>
    <w:rsid w:val="EF7B1C6A"/>
    <w:rsid w:val="EFBFA37B"/>
    <w:rsid w:val="EFCD7B3D"/>
    <w:rsid w:val="EFF39908"/>
    <w:rsid w:val="EFF701C4"/>
    <w:rsid w:val="EFF97543"/>
    <w:rsid w:val="EFFECF50"/>
    <w:rsid w:val="EFFEE021"/>
    <w:rsid w:val="EFFFB134"/>
    <w:rsid w:val="F06FCBC8"/>
    <w:rsid w:val="F13F8B36"/>
    <w:rsid w:val="F2BF6D60"/>
    <w:rsid w:val="F36E0B58"/>
    <w:rsid w:val="F3EF91DB"/>
    <w:rsid w:val="F463924C"/>
    <w:rsid w:val="F5777476"/>
    <w:rsid w:val="F5B78A4D"/>
    <w:rsid w:val="F5F5B5B5"/>
    <w:rsid w:val="F5FCF7D7"/>
    <w:rsid w:val="F6FBF920"/>
    <w:rsid w:val="F71850CD"/>
    <w:rsid w:val="F74A78E0"/>
    <w:rsid w:val="F76AE6A9"/>
    <w:rsid w:val="F7BF2D0E"/>
    <w:rsid w:val="F7DB46D7"/>
    <w:rsid w:val="F7FDC886"/>
    <w:rsid w:val="F7FE6CC1"/>
    <w:rsid w:val="F7FED9B4"/>
    <w:rsid w:val="F95CC68A"/>
    <w:rsid w:val="F97DDC04"/>
    <w:rsid w:val="F9B75BAD"/>
    <w:rsid w:val="FA358E32"/>
    <w:rsid w:val="FAFF4CA8"/>
    <w:rsid w:val="FB36DA37"/>
    <w:rsid w:val="FB56979B"/>
    <w:rsid w:val="FB6F6E88"/>
    <w:rsid w:val="FB7E8168"/>
    <w:rsid w:val="FBAB0E1C"/>
    <w:rsid w:val="FBB0AD52"/>
    <w:rsid w:val="FBBF4C47"/>
    <w:rsid w:val="FBBFF681"/>
    <w:rsid w:val="FBCE85C7"/>
    <w:rsid w:val="FBCF286C"/>
    <w:rsid w:val="FBDA86E4"/>
    <w:rsid w:val="FBE5AD33"/>
    <w:rsid w:val="FBEDB7DB"/>
    <w:rsid w:val="FBEFEF23"/>
    <w:rsid w:val="FBF5E1C6"/>
    <w:rsid w:val="FBF9EBD0"/>
    <w:rsid w:val="FBFF495A"/>
    <w:rsid w:val="FBFF685D"/>
    <w:rsid w:val="FBFF77B4"/>
    <w:rsid w:val="FBFF92A9"/>
    <w:rsid w:val="FBFF9E53"/>
    <w:rsid w:val="FCB7607C"/>
    <w:rsid w:val="FCBF5393"/>
    <w:rsid w:val="FCDF06C3"/>
    <w:rsid w:val="FCFFEE50"/>
    <w:rsid w:val="FDAF5BFF"/>
    <w:rsid w:val="FDDF2CB0"/>
    <w:rsid w:val="FDEF9701"/>
    <w:rsid w:val="FDEFE290"/>
    <w:rsid w:val="FDF8535F"/>
    <w:rsid w:val="FDFE26C2"/>
    <w:rsid w:val="FDFFBABC"/>
    <w:rsid w:val="FE47D8A6"/>
    <w:rsid w:val="FE6FD750"/>
    <w:rsid w:val="FE7BAAA2"/>
    <w:rsid w:val="FE7D8F9A"/>
    <w:rsid w:val="FE7EBA8D"/>
    <w:rsid w:val="FE7F4CB7"/>
    <w:rsid w:val="FE7F8200"/>
    <w:rsid w:val="FE7FC168"/>
    <w:rsid w:val="FEAF84CD"/>
    <w:rsid w:val="FEB745C5"/>
    <w:rsid w:val="FEBDE1B2"/>
    <w:rsid w:val="FECFF9C0"/>
    <w:rsid w:val="FEDE8A2A"/>
    <w:rsid w:val="FEE6BA98"/>
    <w:rsid w:val="FEFF2283"/>
    <w:rsid w:val="FF0B357E"/>
    <w:rsid w:val="FF1E7466"/>
    <w:rsid w:val="FF6A2052"/>
    <w:rsid w:val="FF972287"/>
    <w:rsid w:val="FF9B8769"/>
    <w:rsid w:val="FFB21925"/>
    <w:rsid w:val="FFBB10F2"/>
    <w:rsid w:val="FFBE21CB"/>
    <w:rsid w:val="FFCE6570"/>
    <w:rsid w:val="FFCFCA80"/>
    <w:rsid w:val="FFD5CC45"/>
    <w:rsid w:val="FFD6D02B"/>
    <w:rsid w:val="FFDF37E4"/>
    <w:rsid w:val="FFDFAE88"/>
    <w:rsid w:val="FFED5FA2"/>
    <w:rsid w:val="FFEF631C"/>
    <w:rsid w:val="FFF3E645"/>
    <w:rsid w:val="FFF5FA9D"/>
    <w:rsid w:val="FFF76734"/>
    <w:rsid w:val="FFF77B66"/>
    <w:rsid w:val="FFF794F6"/>
    <w:rsid w:val="FFF7A1A5"/>
    <w:rsid w:val="FFF9933D"/>
    <w:rsid w:val="FFFA5D3D"/>
    <w:rsid w:val="FFFA7751"/>
    <w:rsid w:val="FFFD81F5"/>
    <w:rsid w:val="FFFDC635"/>
    <w:rsid w:val="FFFDD133"/>
    <w:rsid w:val="FFFE8FCD"/>
    <w:rsid w:val="FFFED183"/>
    <w:rsid w:val="FFFF5BB1"/>
    <w:rsid w:val="FFFF9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Noto Sans Mono CJK JP Bold" w:hAnsi="Noto Sans Mono CJK JP Bold" w:eastAsia="Noto Sans Mono CJK JP Bold" w:cs="Noto Sans Mono CJK JP Bold"/>
      <w:sz w:val="22"/>
      <w:szCs w:val="22"/>
      <w:lang w:val="en-US" w:eastAsia="zh-CN" w:bidi="ar-SA"/>
    </w:rPr>
  </w:style>
  <w:style w:type="paragraph" w:styleId="2">
    <w:name w:val="heading 1"/>
    <w:basedOn w:val="1"/>
    <w:next w:val="1"/>
    <w:link w:val="25"/>
    <w:autoRedefine/>
    <w:qFormat/>
    <w:uiPriority w:val="0"/>
    <w:pPr>
      <w:ind w:left="21"/>
      <w:jc w:val="center"/>
      <w:outlineLvl w:val="0"/>
    </w:pPr>
    <w:rPr>
      <w:rFonts w:ascii="Noto Sans CJK JP Black" w:hAnsi="Noto Sans CJK JP Black" w:eastAsia="Noto Sans CJK JP Black" w:cs="Noto Sans CJK JP Black"/>
      <w:sz w:val="32"/>
      <w:szCs w:val="32"/>
    </w:rPr>
  </w:style>
  <w:style w:type="paragraph" w:styleId="3">
    <w:name w:val="heading 2"/>
    <w:basedOn w:val="1"/>
    <w:next w:val="1"/>
    <w:link w:val="3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autoRedefine/>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unhideWhenUsed/>
    <w:qFormat/>
    <w:uiPriority w:val="39"/>
    <w:pPr>
      <w:ind w:left="2520" w:leftChars="1200"/>
    </w:pPr>
    <w:rPr>
      <w:rFonts w:ascii="宋体" w:hAnsi="宋体" w:eastAsia="宋体"/>
    </w:rPr>
  </w:style>
  <w:style w:type="paragraph" w:styleId="6">
    <w:name w:val="Body Text"/>
    <w:basedOn w:val="1"/>
    <w:link w:val="26"/>
    <w:autoRedefine/>
    <w:qFormat/>
    <w:uiPriority w:val="0"/>
    <w:pPr>
      <w:ind w:left="897"/>
    </w:pPr>
    <w:rPr>
      <w:sz w:val="30"/>
      <w:szCs w:val="30"/>
    </w:rPr>
  </w:style>
  <w:style w:type="paragraph" w:styleId="7">
    <w:name w:val="toc 5"/>
    <w:basedOn w:val="1"/>
    <w:next w:val="1"/>
    <w:autoRedefine/>
    <w:semiHidden/>
    <w:unhideWhenUsed/>
    <w:qFormat/>
    <w:uiPriority w:val="39"/>
    <w:pPr>
      <w:ind w:left="1680" w:leftChars="800"/>
    </w:pPr>
    <w:rPr>
      <w:rFonts w:ascii="宋体" w:hAnsi="宋体" w:eastAsia="宋体"/>
    </w:rPr>
  </w:style>
  <w:style w:type="paragraph" w:styleId="8">
    <w:name w:val="toc 3"/>
    <w:basedOn w:val="1"/>
    <w:next w:val="1"/>
    <w:autoRedefine/>
    <w:unhideWhenUsed/>
    <w:qFormat/>
    <w:uiPriority w:val="39"/>
    <w:pPr>
      <w:ind w:left="840" w:leftChars="400"/>
    </w:pPr>
    <w:rPr>
      <w:rFonts w:ascii="宋体" w:hAnsi="宋体" w:eastAsia="宋体"/>
    </w:rPr>
  </w:style>
  <w:style w:type="paragraph" w:styleId="9">
    <w:name w:val="toc 8"/>
    <w:basedOn w:val="1"/>
    <w:next w:val="1"/>
    <w:autoRedefine/>
    <w:semiHidden/>
    <w:unhideWhenUsed/>
    <w:qFormat/>
    <w:uiPriority w:val="39"/>
    <w:pPr>
      <w:ind w:left="2940" w:leftChars="1400"/>
    </w:pPr>
    <w:rPr>
      <w:rFonts w:ascii="宋体" w:hAnsi="宋体" w:eastAsia="宋体"/>
    </w:rPr>
  </w:style>
  <w:style w:type="paragraph" w:styleId="10">
    <w:name w:val="footer"/>
    <w:basedOn w:val="1"/>
    <w:link w:val="24"/>
    <w:autoRedefine/>
    <w:unhideWhenUsed/>
    <w:qFormat/>
    <w:uiPriority w:val="0"/>
    <w:pPr>
      <w:tabs>
        <w:tab w:val="center" w:pos="4153"/>
        <w:tab w:val="right" w:pos="8306"/>
      </w:tabs>
      <w:snapToGrid w:val="0"/>
    </w:pPr>
    <w:rPr>
      <w:sz w:val="18"/>
      <w:szCs w:val="18"/>
    </w:rPr>
  </w:style>
  <w:style w:type="paragraph" w:styleId="11">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rPr>
      <w:rFonts w:ascii="宋体" w:hAnsi="宋体" w:eastAsia="宋体"/>
    </w:rPr>
  </w:style>
  <w:style w:type="paragraph" w:styleId="13">
    <w:name w:val="toc 4"/>
    <w:basedOn w:val="1"/>
    <w:next w:val="1"/>
    <w:autoRedefine/>
    <w:semiHidden/>
    <w:unhideWhenUsed/>
    <w:qFormat/>
    <w:uiPriority w:val="39"/>
    <w:pPr>
      <w:ind w:left="1260" w:leftChars="600"/>
    </w:pPr>
    <w:rPr>
      <w:rFonts w:ascii="宋体" w:hAnsi="宋体" w:eastAsia="宋体"/>
    </w:rPr>
  </w:style>
  <w:style w:type="paragraph" w:styleId="14">
    <w:name w:val="toc 6"/>
    <w:basedOn w:val="1"/>
    <w:next w:val="1"/>
    <w:autoRedefine/>
    <w:semiHidden/>
    <w:unhideWhenUsed/>
    <w:qFormat/>
    <w:uiPriority w:val="39"/>
    <w:pPr>
      <w:ind w:left="2100" w:leftChars="1000"/>
    </w:pPr>
    <w:rPr>
      <w:rFonts w:ascii="宋体" w:hAnsi="宋体" w:eastAsia="宋体"/>
    </w:rPr>
  </w:style>
  <w:style w:type="paragraph" w:styleId="15">
    <w:name w:val="toc 2"/>
    <w:basedOn w:val="1"/>
    <w:next w:val="1"/>
    <w:autoRedefine/>
    <w:unhideWhenUsed/>
    <w:qFormat/>
    <w:uiPriority w:val="39"/>
    <w:pPr>
      <w:ind w:left="420" w:leftChars="200"/>
    </w:pPr>
    <w:rPr>
      <w:rFonts w:ascii="宋体" w:hAnsi="宋体" w:eastAsia="宋体"/>
    </w:rPr>
  </w:style>
  <w:style w:type="paragraph" w:styleId="16">
    <w:name w:val="toc 9"/>
    <w:basedOn w:val="1"/>
    <w:next w:val="1"/>
    <w:autoRedefine/>
    <w:semiHidden/>
    <w:unhideWhenUsed/>
    <w:qFormat/>
    <w:uiPriority w:val="39"/>
    <w:pPr>
      <w:ind w:left="3360" w:leftChars="1600"/>
    </w:pPr>
    <w:rPr>
      <w:rFonts w:ascii="宋体" w:hAnsi="宋体" w:eastAsia="宋体"/>
    </w:rPr>
  </w:style>
  <w:style w:type="paragraph" w:styleId="17">
    <w:name w:val="Normal (Web)"/>
    <w:basedOn w:val="1"/>
    <w:autoRedefine/>
    <w:semiHidden/>
    <w:unhideWhenUsed/>
    <w:qFormat/>
    <w:uiPriority w:val="99"/>
    <w:pPr>
      <w:widowControl/>
      <w:autoSpaceDE/>
      <w:autoSpaceDN/>
      <w:spacing w:before="100" w:beforeAutospacing="1" w:after="100" w:afterAutospacing="1"/>
    </w:pPr>
    <w:rPr>
      <w:rFonts w:ascii="宋体" w:hAnsi="宋体" w:eastAsia="宋体" w:cs="宋体"/>
      <w:sz w:val="24"/>
      <w:szCs w:val="24"/>
    </w:rPr>
  </w:style>
  <w:style w:type="paragraph" w:styleId="18">
    <w:name w:val="Title"/>
    <w:basedOn w:val="1"/>
    <w:next w:val="1"/>
    <w:link w:val="29"/>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customStyle="1" w:styleId="23">
    <w:name w:val="页眉 字符"/>
    <w:basedOn w:val="21"/>
    <w:link w:val="11"/>
    <w:autoRedefine/>
    <w:qFormat/>
    <w:uiPriority w:val="0"/>
    <w:rPr>
      <w:sz w:val="18"/>
      <w:szCs w:val="18"/>
    </w:rPr>
  </w:style>
  <w:style w:type="character" w:customStyle="1" w:styleId="24">
    <w:name w:val="页脚 字符"/>
    <w:basedOn w:val="21"/>
    <w:link w:val="10"/>
    <w:autoRedefine/>
    <w:qFormat/>
    <w:uiPriority w:val="0"/>
    <w:rPr>
      <w:sz w:val="18"/>
      <w:szCs w:val="18"/>
    </w:rPr>
  </w:style>
  <w:style w:type="character" w:customStyle="1" w:styleId="25">
    <w:name w:val="标题 1 字符"/>
    <w:basedOn w:val="21"/>
    <w:link w:val="2"/>
    <w:autoRedefine/>
    <w:qFormat/>
    <w:uiPriority w:val="0"/>
    <w:rPr>
      <w:rFonts w:ascii="Noto Sans CJK JP Black" w:hAnsi="Noto Sans CJK JP Black" w:eastAsia="Noto Sans CJK JP Black" w:cs="Noto Sans CJK JP Black"/>
      <w:kern w:val="0"/>
      <w:sz w:val="32"/>
      <w:szCs w:val="32"/>
    </w:rPr>
  </w:style>
  <w:style w:type="character" w:customStyle="1" w:styleId="26">
    <w:name w:val="正文文本 字符"/>
    <w:basedOn w:val="21"/>
    <w:link w:val="6"/>
    <w:autoRedefine/>
    <w:qFormat/>
    <w:uiPriority w:val="0"/>
    <w:rPr>
      <w:rFonts w:ascii="Noto Sans Mono CJK JP Bold" w:hAnsi="Noto Sans Mono CJK JP Bold" w:eastAsia="Noto Sans Mono CJK JP Bold" w:cs="Noto Sans Mono CJK JP Bold"/>
      <w:kern w:val="0"/>
      <w:sz w:val="30"/>
      <w:szCs w:val="30"/>
    </w:rPr>
  </w:style>
  <w:style w:type="paragraph" w:customStyle="1" w:styleId="27">
    <w:name w:val="列表段落1"/>
    <w:basedOn w:val="1"/>
    <w:autoRedefine/>
    <w:qFormat/>
    <w:uiPriority w:val="1"/>
    <w:pPr>
      <w:ind w:left="897" w:firstLine="600"/>
    </w:pPr>
  </w:style>
  <w:style w:type="paragraph" w:customStyle="1" w:styleId="28">
    <w:name w:val="Table Paragraph"/>
    <w:basedOn w:val="1"/>
    <w:autoRedefine/>
    <w:qFormat/>
    <w:uiPriority w:val="1"/>
    <w:rPr>
      <w:rFonts w:ascii="Noto Sans CJK JP Black" w:hAnsi="Noto Sans CJK JP Black" w:eastAsia="Noto Sans CJK JP Black" w:cs="Noto Sans CJK JP Black"/>
    </w:rPr>
  </w:style>
  <w:style w:type="character" w:customStyle="1" w:styleId="29">
    <w:name w:val="标题 字符"/>
    <w:basedOn w:val="21"/>
    <w:link w:val="18"/>
    <w:autoRedefine/>
    <w:qFormat/>
    <w:uiPriority w:val="10"/>
    <w:rPr>
      <w:rFonts w:asciiTheme="majorHAnsi" w:hAnsiTheme="majorHAnsi" w:eastAsiaTheme="majorEastAsia" w:cstheme="majorBidi"/>
      <w:b/>
      <w:bCs/>
      <w:sz w:val="32"/>
      <w:szCs w:val="32"/>
    </w:rPr>
  </w:style>
  <w:style w:type="character" w:customStyle="1" w:styleId="30">
    <w:name w:val="标题 2 字符"/>
    <w:basedOn w:val="21"/>
    <w:link w:val="3"/>
    <w:autoRedefine/>
    <w:qFormat/>
    <w:uiPriority w:val="9"/>
    <w:rPr>
      <w:rFonts w:asciiTheme="majorHAnsi" w:hAnsiTheme="majorHAnsi" w:eastAsiaTheme="majorEastAsia" w:cstheme="majorBidi"/>
      <w:b/>
      <w:bCs/>
      <w:sz w:val="32"/>
      <w:szCs w:val="32"/>
    </w:rPr>
  </w:style>
  <w:style w:type="character" w:customStyle="1" w:styleId="31">
    <w:name w:val="标题 3 字符"/>
    <w:basedOn w:val="21"/>
    <w:link w:val="4"/>
    <w:autoRedefine/>
    <w:qFormat/>
    <w:uiPriority w:val="9"/>
    <w:rPr>
      <w:rFonts w:ascii="Noto Sans Mono CJK JP Bold" w:hAnsi="Noto Sans Mono CJK JP Bold" w:eastAsia="Noto Sans Mono CJK JP Bold" w:cs="Noto Sans Mono CJK JP Bold"/>
      <w:b/>
      <w:bCs/>
      <w:sz w:val="32"/>
      <w:szCs w:val="32"/>
    </w:rPr>
  </w:style>
  <w:style w:type="paragraph" w:styleId="32">
    <w:name w:val="List Paragraph"/>
    <w:basedOn w:val="1"/>
    <w:autoRedefine/>
    <w:qFormat/>
    <w:uiPriority w:val="99"/>
    <w:pPr>
      <w:ind w:firstLine="420" w:firstLineChars="200"/>
    </w:pPr>
  </w:style>
  <w:style w:type="paragraph" w:customStyle="1" w:styleId="33">
    <w:name w:val="TOC 标题1"/>
    <w:basedOn w:val="2"/>
    <w:next w:val="1"/>
    <w:autoRedefine/>
    <w:unhideWhenUsed/>
    <w:qFormat/>
    <w:uiPriority w:val="39"/>
    <w:pPr>
      <w:keepNext/>
      <w:keepLines/>
      <w:widowControl/>
      <w:autoSpaceDE/>
      <w:autoSpaceDN/>
      <w:spacing w:before="240" w:line="259" w:lineRule="auto"/>
      <w:ind w:left="0"/>
      <w:jc w:val="left"/>
      <w:outlineLvl w:val="9"/>
    </w:pPr>
    <w:rPr>
      <w:rFonts w:asciiTheme="majorHAnsi" w:hAnsiTheme="majorHAnsi" w:eastAsiaTheme="majorEastAsia" w:cstheme="majorBidi"/>
      <w:color w:val="2F5597" w:themeColor="accent1" w:themeShade="BF"/>
    </w:rPr>
  </w:style>
  <w:style w:type="paragraph" w:customStyle="1" w:styleId="34">
    <w:name w:val="TOC 标题11"/>
    <w:basedOn w:val="2"/>
    <w:next w:val="1"/>
    <w:autoRedefine/>
    <w:unhideWhenUsed/>
    <w:qFormat/>
    <w:uiPriority w:val="39"/>
    <w:pPr>
      <w:keepNext/>
      <w:keepLines/>
      <w:widowControl/>
      <w:spacing w:before="240" w:line="259" w:lineRule="auto"/>
      <w:ind w:left="0"/>
      <w:jc w:val="left"/>
      <w:outlineLvl w:val="9"/>
    </w:pPr>
    <w:rPr>
      <w:rFonts w:asciiTheme="majorHAnsi" w:hAnsiTheme="majorHAnsi" w:eastAsiaTheme="majorEastAsia" w:cstheme="majorBidi"/>
      <w:color w:val="2F5597" w:themeColor="accent1" w:themeShade="BF"/>
    </w:rPr>
  </w:style>
  <w:style w:type="character" w:customStyle="1" w:styleId="35">
    <w:name w:val="索引链接"/>
    <w:autoRedefine/>
    <w:qFormat/>
    <w:uiPriority w:val="0"/>
  </w:style>
  <w:style w:type="paragraph" w:customStyle="1" w:styleId="36">
    <w:name w:val="TOC 标题2"/>
    <w:basedOn w:val="2"/>
    <w:next w:val="1"/>
    <w:autoRedefine/>
    <w:unhideWhenUsed/>
    <w:qFormat/>
    <w:uiPriority w:val="39"/>
    <w:pPr>
      <w:keepNext/>
      <w:keepLines/>
      <w:widowControl/>
      <w:autoSpaceDE/>
      <w:autoSpaceDN/>
      <w:spacing w:before="240" w:line="259" w:lineRule="auto"/>
      <w:ind w:left="0"/>
      <w:jc w:val="left"/>
      <w:outlineLvl w:val="9"/>
    </w:pPr>
    <w:rPr>
      <w:rFonts w:asciiTheme="majorHAnsi" w:hAnsiTheme="majorHAnsi" w:eastAsiaTheme="majorEastAsia" w:cstheme="majorBidi"/>
      <w:color w:val="2F5597" w:themeColor="accent1" w:themeShade="BF"/>
    </w:rPr>
  </w:style>
  <w:style w:type="paragraph" w:customStyle="1" w:styleId="37">
    <w:name w:val="无间隔1"/>
    <w:autoRedefine/>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EC0B117-8D5F-438B-851A-29D908DEA406}">
  <ds:schemaRefs/>
</ds:datastoreItem>
</file>

<file path=docProps/app.xml><?xml version="1.0" encoding="utf-8"?>
<Properties xmlns="http://schemas.openxmlformats.org/officeDocument/2006/extended-properties" xmlns:vt="http://schemas.openxmlformats.org/officeDocument/2006/docPropsVTypes">
  <Template>Normal</Template>
  <Pages>32</Pages>
  <Words>2316</Words>
  <Characters>13205</Characters>
  <Lines>110</Lines>
  <Paragraphs>30</Paragraphs>
  <TotalTime>178</TotalTime>
  <ScaleCrop>false</ScaleCrop>
  <LinksUpToDate>false</LinksUpToDate>
  <CharactersWithSpaces>15491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2024-04-16T08:18:00Z</dcterms:created>
  <dc:creator>cheng xs</dc:creator>
  <cp:lastModifiedBy>李东西</cp:lastModifiedBy>
  <dcterms:modified xsi:type="dcterms:W3CDTF">2024-04-17T08:21:04Z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3E53FC341865486FB1A80F0BA47A3C83_13</vt:lpwstr>
  </property>
  <property fmtid="{D5CDD505-2E9C-101B-9397-08002B2CF9AE}" pid="3" name="KSOProductBuildVer">
    <vt:lpwstr>2052-12.1.0.16417</vt:lpwstr>
  </property>
</Properties>
</file>