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241" w:right="0" w:hanging="301" w:hangingChars="100"/>
              <w:rPr>
                <w:rFonts w:hint="default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发文科室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 党建办公室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科室负责人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分管领导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05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发文时间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|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城市管理综合行政执法局党支部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开展“以案促改”警示教育主题党日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为进一步推荐党纪学习教育走实走深，深化以案促教、以案促改、以案促治，教育引导党员干部增强纪律观念、强化纪律自觉，切实做到知敬畏、存戒惧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、守底线，11月11日，城管局党支部组织开展以案促改警示教育主题党日活动。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636010"/>
            <wp:effectExtent l="0" t="0" r="3810" b="6350"/>
            <wp:docPr id="1" name="图片 1" descr="55109890821c42c1e1ee9e8cafc7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109890821c42c1e1ee9e8cafc76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首先，由党支部书记传达学习了《关于做好李鹏新严重违纪违法案以案促改工作的任务分工方案》的通知要求，并结合我局财务部门人员违纪违法案进行了深刻剖析，让党员干部从“身边案”中汲取教训，筑牢防线，</w:t>
      </w: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</w:rPr>
        <w:t>始终做到知敬畏、存戒惧、守底线。</w:t>
      </w: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eastAsia="zh-CN"/>
        </w:rPr>
        <w:t>会议最后全体党员观看了警示教育片</w:t>
      </w: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  <w:t>--《案说六大纪律》。</w:t>
      </w:r>
    </w:p>
    <w:p>
      <w:pPr>
        <w:ind w:left="712" w:hanging="712" w:hanging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72cd1c8280ca9de9bca9ad756258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cd1c8280ca9de9bca9ad756258c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  <w:t>通过此次活动，大家一致表示，要以案促鉴，常敲</w:t>
      </w:r>
    </w:p>
    <w:p>
      <w:pPr>
        <w:jc w:val="left"/>
        <w:rPr>
          <w:rFonts w:hint="default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18"/>
          <w:sz w:val="32"/>
          <w:szCs w:val="32"/>
          <w:shd w:val="clear" w:fill="FFFFFF"/>
          <w:lang w:val="en-US" w:eastAsia="zh-CN"/>
        </w:rPr>
        <w:t>思想警钟、常紧纪律之弦、常存纪律之弦、常存敬畏之心，更要经常对照党章党规党纪，检视自己的理想信念和思想言行，不断提高党性修养和拒腐防变能力，坚决守好自己的初心，让戒惧常在，让警钟长鸣。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9b127113-d76a-4edc-b51c-aab78f82261e"/>
  </w:docVars>
  <w:rsids>
    <w:rsidRoot w:val="539D1B84"/>
    <w:rsid w:val="0C9513CD"/>
    <w:rsid w:val="20FF7C18"/>
    <w:rsid w:val="539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388</Characters>
  <Lines>0</Lines>
  <Paragraphs>0</Paragraphs>
  <TotalTime>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2024-10-31T03:17:00Z</dcterms:created>
  <dc:creator>Administrator</dc:creator>
  <cp:lastModifiedBy>拼命菇凉@~</cp:lastModifiedBy>
  <dcterms:modified xsi:type="dcterms:W3CDTF">2024-11-13T03:37:22Z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B16834CCF9024921A324DFBD8AFBEEAE</vt:lpwstr>
  </property>
</Properties>
</file>