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08A2C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b/>
          <w:bCs/>
          <w:sz w:val="44"/>
          <w:szCs w:val="44"/>
          <w:lang w:val="en-US" w:eastAsia="zh-CN"/>
        </w:rPr>
      </w:pPr>
      <w:r>
        <w:rPr>
          <w:rFonts w:hint="eastAsia"/>
          <w:b/>
          <w:bCs/>
          <w:sz w:val="44"/>
          <w:szCs w:val="44"/>
        </w:rPr>
        <w:t>国兆伟业（北京）资金管理有限公司</w:t>
      </w:r>
      <w:r>
        <w:rPr>
          <w:rFonts w:hint="eastAsia"/>
          <w:b/>
          <w:bCs/>
          <w:sz w:val="44"/>
          <w:szCs w:val="44"/>
          <w:lang w:val="en-US" w:eastAsia="zh-CN"/>
        </w:rPr>
        <w:t>一行</w:t>
      </w:r>
    </w:p>
    <w:p w14:paraId="43663AC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sz w:val="44"/>
          <w:szCs w:val="44"/>
          <w:lang w:val="en-US" w:eastAsia="zh-CN"/>
        </w:rPr>
      </w:pPr>
      <w:r>
        <w:rPr>
          <w:rFonts w:hint="eastAsia"/>
          <w:b/>
          <w:bCs/>
          <w:sz w:val="44"/>
          <w:szCs w:val="44"/>
          <w:lang w:val="en-US" w:eastAsia="zh-CN"/>
        </w:rPr>
        <w:t>赴霍林郭勒市考察</w:t>
      </w:r>
    </w:p>
    <w:p w14:paraId="4A80792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sz w:val="44"/>
          <w:szCs w:val="44"/>
          <w:lang w:val="en-US" w:eastAsia="zh-CN"/>
        </w:rPr>
      </w:pPr>
    </w:p>
    <w:p w14:paraId="6FA102E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drawing>
          <wp:anchor distT="0" distB="0" distL="114300" distR="114300" simplePos="0" relativeHeight="251659264" behindDoc="0" locked="0" layoutInCell="1" allowOverlap="1">
            <wp:simplePos x="0" y="0"/>
            <wp:positionH relativeFrom="column">
              <wp:posOffset>-19050</wp:posOffset>
            </wp:positionH>
            <wp:positionV relativeFrom="paragraph">
              <wp:posOffset>1115695</wp:posOffset>
            </wp:positionV>
            <wp:extent cx="5606415" cy="4203065"/>
            <wp:effectExtent l="0" t="0" r="13335" b="6985"/>
            <wp:wrapTopAndBottom/>
            <wp:docPr id="2" name="图片 2" descr="f18639858549cdaee211cb1c4dc39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18639858549cdaee211cb1c4dc39c2"/>
                    <pic:cNvPicPr>
                      <a:picLocks noChangeAspect="1"/>
                    </pic:cNvPicPr>
                  </pic:nvPicPr>
                  <pic:blipFill>
                    <a:blip r:embed="rId4"/>
                    <a:stretch>
                      <a:fillRect/>
                    </a:stretch>
                  </pic:blipFill>
                  <pic:spPr>
                    <a:xfrm>
                      <a:off x="0" y="0"/>
                      <a:ext cx="5606415" cy="4203065"/>
                    </a:xfrm>
                    <a:prstGeom prst="rect">
                      <a:avLst/>
                    </a:prstGeom>
                  </pic:spPr>
                </pic:pic>
              </a:graphicData>
            </a:graphic>
          </wp:anchor>
        </w:drawing>
      </w:r>
      <w:r>
        <w:rPr>
          <w:rFonts w:hint="eastAsia" w:ascii="仿宋" w:hAnsi="仿宋" w:eastAsia="仿宋" w:cs="仿宋"/>
          <w:b w:val="0"/>
          <w:bCs w:val="0"/>
          <w:sz w:val="32"/>
          <w:szCs w:val="32"/>
          <w:lang w:val="en-US" w:eastAsia="zh-CN"/>
        </w:rPr>
        <w:t>2月14日，国兆伟业（北京）资金管理有限公司一行赴霍林郭勒市就甲醇风电新能源一体化项目进行座</w:t>
      </w:r>
      <w:bookmarkStart w:id="0" w:name="_GoBack"/>
      <w:bookmarkEnd w:id="0"/>
      <w:r>
        <w:rPr>
          <w:rFonts w:hint="eastAsia" w:ascii="仿宋" w:hAnsi="仿宋" w:eastAsia="仿宋" w:cs="仿宋"/>
          <w:b w:val="0"/>
          <w:bCs w:val="0"/>
          <w:sz w:val="32"/>
          <w:szCs w:val="32"/>
          <w:lang w:val="en-US" w:eastAsia="zh-CN"/>
        </w:rPr>
        <w:t>谈交流，市区域经济合作金融服务中心、招商六处相关负责人参加座谈。</w:t>
      </w:r>
    </w:p>
    <w:p w14:paraId="48DCD7E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会上，市区域经济合作金融服务中心负责人对霍林郭勒市经济发展状况、产业基础、未来谋划等作了详细介绍</w:t>
      </w:r>
      <w:r>
        <w:rPr>
          <w:rFonts w:hint="eastAsia" w:ascii="仿宋" w:hAnsi="仿宋" w:eastAsia="仿宋" w:cs="仿宋"/>
          <w:sz w:val="32"/>
          <w:szCs w:val="32"/>
          <w:vertAlign w:val="baseline"/>
          <w:lang w:val="en-US" w:eastAsia="zh-CN"/>
        </w:rPr>
        <w:t>。考察组一行对霍林郭勒市营商环境、城市发展、未来远景高度认可，最终在产业基金、供应链金融方面达成共识。</w:t>
      </w:r>
    </w:p>
    <w:sectPr>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AE1E17"/>
    <w:rsid w:val="26A527C9"/>
    <w:rsid w:val="3CBA0497"/>
    <w:rsid w:val="3D0D5D32"/>
    <w:rsid w:val="5DD7079C"/>
    <w:rsid w:val="600532C8"/>
    <w:rsid w:val="6694584A"/>
    <w:rsid w:val="6E8810C7"/>
    <w:rsid w:val="705A23DD"/>
    <w:rsid w:val="7A3A6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header"/>
    <w:basedOn w:val="1"/>
    <w:next w:val="2"/>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202</Words>
  <Characters>203</Characters>
  <Lines>0</Lines>
  <Paragraphs>0</Paragraphs>
  <TotalTime>7</TotalTime>
  <ScaleCrop>false</ScaleCrop>
  <LinksUpToDate>false</LinksUpToDate>
  <CharactersWithSpaces>203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2025-02-17T02:19:00Z</dcterms:created>
  <dc:creator>lenovoc</dc:creator>
  <cp:lastModifiedBy>水晶湖</cp:lastModifiedBy>
  <dcterms:modified xsi:type="dcterms:W3CDTF">2025-02-26T02:27:50Z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eyJoZGlkIjoiZGFhODM5OTljNTQ4M2MyMmM5NWFjMjkyYTQwMjU5MWYiLCJ1c2VySWQiOiI4MDI0MTQ0MzMifQ==</vt:lpwstr>
  </property>
  <property fmtid="{D5CDD505-2E9C-101B-9397-08002B2CF9AE}" pid="4" name="ICV">
    <vt:lpwstr>BCEF1A64C2964C2EA7CB37D9891FEA6E_13</vt:lpwstr>
  </property>
</Properties>
</file>