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840" w:leftChars="-400" w:firstLine="0" w:firstLineChars="0"/>
        <w:rPr>
          <w:rFonts w:hint="eastAsia" w:ascii="方正小标宋简体" w:hAnsi="方正小标宋简体" w:eastAsia="方正小标宋简体" w:cs="方正小标宋简体"/>
          <w:b w:val="0"/>
          <w:i w:val="0"/>
          <w:caps w:val="0"/>
          <w:spacing w:val="0"/>
          <w:w w:val="100"/>
          <w:sz w:val="44"/>
          <w:szCs w:val="44"/>
          <w:lang w:val="en-US" w:eastAsia="zh-CN"/>
        </w:rPr>
      </w:pPr>
      <w:bookmarkStart w:id="0" w:name="_GoBack"/>
      <w:bookmarkEnd w:id="0"/>
      <w:r>
        <w:rPr>
          <w:rFonts w:hint="eastAsia" w:eastAsiaTheme="minorEastAsia"/>
          <w:lang w:eastAsia="zh-CN"/>
        </w:rPr>
        <w:drawing>
          <wp:inline distT="0" distB="0" distL="114300" distR="114300">
            <wp:extent cx="6316980" cy="3387725"/>
            <wp:effectExtent l="0" t="0" r="7620" b="10795"/>
            <wp:docPr id="1" name="图片 1" descr="微信图片_20220606084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606084944"/>
                    <pic:cNvPicPr>
                      <a:picLocks noChangeAspect="1"/>
                    </pic:cNvPicPr>
                  </pic:nvPicPr>
                  <pic:blipFill>
                    <a:blip r:embed="rId4"/>
                    <a:srcRect l="7550" t="191" r="8724" b="59419"/>
                    <a:stretch>
                      <a:fillRect/>
                    </a:stretch>
                  </pic:blipFill>
                  <pic:spPr>
                    <a:xfrm>
                      <a:off x="0" y="0"/>
                      <a:ext cx="6316980" cy="3387725"/>
                    </a:xfrm>
                    <a:prstGeom prst="rect">
                      <a:avLst/>
                    </a:prstGeom>
                  </pic:spPr>
                </pic:pic>
              </a:graphicData>
            </a:graphic>
          </wp:inline>
        </w:drawing>
      </w:r>
      <w:r>
        <w:rPr>
          <w:sz w:val="21"/>
        </w:rPr>
        <mc:AlternateContent>
          <mc:Choice Requires="wps">
            <w:drawing>
              <wp:anchor distT="0" distB="0" distL="114300" distR="114300" simplePos="0" relativeHeight="251660288" behindDoc="0" locked="0" layoutInCell="1" allowOverlap="1">
                <wp:simplePos x="0" y="0"/>
                <wp:positionH relativeFrom="column">
                  <wp:posOffset>-441325</wp:posOffset>
                </wp:positionH>
                <wp:positionV relativeFrom="paragraph">
                  <wp:posOffset>2904490</wp:posOffset>
                </wp:positionV>
                <wp:extent cx="6104890" cy="441960"/>
                <wp:effectExtent l="0" t="0" r="6350" b="0"/>
                <wp:wrapNone/>
                <wp:docPr id="3" name="文本框 3"/>
                <wp:cNvGraphicFramePr/>
                <a:graphic xmlns:a="http://schemas.openxmlformats.org/drawingml/2006/main">
                  <a:graphicData uri="http://schemas.microsoft.com/office/word/2010/wordprocessingShape">
                    <wps:wsp>
                      <wps:cNvSpPr txBox="1"/>
                      <wps:spPr>
                        <a:xfrm>
                          <a:off x="702310" y="4034155"/>
                          <a:ext cx="6104890" cy="4419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228.7pt;height:34.8pt;width:480.7pt;z-index:251660288;mso-width-relative:page;mso-height-relative:page;" fillcolor="#FFFFFF [3201]" filled="t" stroked="f" coordsize="21600,21600" o:gfxdata="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KCQ&#10;J4/YAAAACwEAAA8AAAAAAAAAAQAgAAAAIgAAAGRycy9kb3ducmV2LnhtbFBLAQIUABQAAAAIAIdO&#10;4kC4aBP8XAIAAJoEAAAOAAAAAAAAAAEAIAAAACcBAABkcnMvZTJvRG9jLnhtbFBLBQYAAAAABgAG&#10;AFkBAAD1BQAAAAA=&#10;">
                <v:fill on="t" focussize="0,0"/>
                <v:stroke on="f" weight="0.5pt"/>
                <v:imagedata o:title=""/>
                <o:lock v:ext="edit" aspectratio="f"/>
                <v:textbox>
                  <w:txbxContent>
                    <w:p>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3371215</wp:posOffset>
                </wp:positionV>
                <wp:extent cx="6139180" cy="43180"/>
                <wp:effectExtent l="0" t="9525" r="2540" b="23495"/>
                <wp:wrapNone/>
                <wp:docPr id="2" name="直接连接符 2"/>
                <wp:cNvGraphicFramePr/>
                <a:graphic xmlns:a="http://schemas.openxmlformats.org/drawingml/2006/main">
                  <a:graphicData uri="http://schemas.microsoft.com/office/word/2010/wordprocessingShape">
                    <wps:wsp>
                      <wps:cNvCnPr/>
                      <wps:spPr>
                        <a:xfrm flipV="1">
                          <a:off x="624205" y="3886200"/>
                          <a:ext cx="6139180" cy="43180"/>
                        </a:xfrm>
                        <a:prstGeom prst="line">
                          <a:avLst/>
                        </a:prstGeom>
                        <a:ln>
                          <a:solidFill>
                            <a:srgbClr val="FF000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33.25pt;margin-top:265.45pt;height:3.4pt;width:483.4pt;z-index:251659264;mso-width-relative:page;mso-height-relative:page;" filled="f" stroked="t" coordsize="21600,21600" o:gfxdata="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2I8h/aAAAACwEAAA8AAAAAAAAAAQAgAAAAIgAAAGRycy9kb3du&#10;cmV2LnhtbFBLAQIUABQAAAAIAIdO4kBIv6P5/QEAAMsDAAAOAAAAAAAAAAEAIAAAACkBAABkcnMv&#10;ZTJvRG9jLnhtbFBLBQYAAAAABgAGAFkBAACYBQAAAAA=&#10;">
                <v:fill on="f" focussize="0,0"/>
                <v:stroke weight="1.5pt" color="#FF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方正小标宋简体" w:hAnsi="方正小标宋简体" w:eastAsia="方正小标宋简体" w:cs="方正小标宋简体"/>
          <w:b w:val="0"/>
          <w:i w:val="0"/>
          <w:caps w:val="0"/>
          <w:spacing w:val="0"/>
          <w:w w:val="100"/>
          <w:sz w:val="44"/>
          <w:szCs w:val="44"/>
          <w:lang w:val="en-US" w:eastAsia="zh-CN"/>
        </w:rPr>
      </w:pPr>
      <w:r>
        <w:rPr>
          <w:rFonts w:hint="eastAsia" w:ascii="方正小标宋简体" w:hAnsi="方正小标宋简体" w:eastAsia="方正小标宋简体" w:cs="方正小标宋简体"/>
          <w:b w:val="0"/>
          <w:i w:val="0"/>
          <w:caps w:val="0"/>
          <w:spacing w:val="0"/>
          <w:w w:val="100"/>
          <w:sz w:val="44"/>
          <w:szCs w:val="44"/>
          <w:lang w:val="en-US" w:eastAsia="zh-CN"/>
        </w:rPr>
        <w:t>霍林郭勒市农牧局</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w:t>
      </w:r>
      <w:r>
        <w:rPr>
          <w:rFonts w:hint="eastAsia" w:ascii="方正小标宋简体" w:hAnsi="方正小标宋简体" w:eastAsia="方正小标宋简体" w:cs="方正小标宋简体"/>
          <w:sz w:val="44"/>
          <w:szCs w:val="44"/>
        </w:rPr>
        <w:t>霍林郭勒市农牧局关于严格规范涉企行政检查的实施方案</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各股室、局属各二级单位：</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left"/>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党中央、国务院关于规范涉企行政检查的决策部署，认真落实《国务院办公厅关于严格规范涉企行政检查的意见》(国办发〔2024〕54号)和《内蒙古自治区人民政府办公厅关于严格规范涉企行政检查的实施意见》(内政办发〔2025〕20号)</w:t>
      </w:r>
      <w:r>
        <w:rPr>
          <w:rFonts w:hint="eastAsia" w:ascii="仿宋_GB2312" w:hAnsi="仿宋_GB2312" w:eastAsia="仿宋_GB2312" w:cs="仿宋_GB2312"/>
          <w:sz w:val="32"/>
          <w:szCs w:val="32"/>
        </w:rPr>
        <w:t>《霍林郭勒市人民政府关于印发〈霍林郭勒市关于严格规范涉企行政检查的实施方案〉的通知》</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sz w:val="32"/>
          <w:szCs w:val="32"/>
        </w:rPr>
        <w:t>全面规范我市农牧领域涉企行政检查行为，切实维护市场主体合法权益，持续优化法治化营商环境</w:t>
      </w:r>
      <w:r>
        <w:rPr>
          <w:rFonts w:hint="eastAsia" w:ascii="仿宋_GB2312" w:hAnsi="仿宋_GB2312" w:eastAsia="仿宋_GB2312" w:cs="仿宋_GB2312"/>
          <w:sz w:val="32"/>
          <w:szCs w:val="32"/>
          <w:lang w:val="en-US" w:eastAsia="zh-CN"/>
        </w:rPr>
        <w:t>，现将《</w:t>
      </w:r>
      <w:r>
        <w:rPr>
          <w:rFonts w:hint="eastAsia" w:ascii="仿宋_GB2312" w:hAnsi="仿宋_GB2312" w:eastAsia="仿宋_GB2312" w:cs="仿宋_GB2312"/>
          <w:sz w:val="32"/>
          <w:szCs w:val="32"/>
        </w:rPr>
        <w:t>霍林郭勒市农牧局关于严格规范涉企行政检查的实施方案</w:t>
      </w:r>
      <w:r>
        <w:rPr>
          <w:rFonts w:hint="eastAsia" w:ascii="仿宋_GB2312" w:hAnsi="仿宋_GB2312" w:eastAsia="仿宋_GB2312" w:cs="仿宋_GB2312"/>
          <w:sz w:val="32"/>
          <w:szCs w:val="32"/>
          <w:lang w:val="en-US" w:eastAsia="zh-CN"/>
        </w:rPr>
        <w:t>》印发给你们，请遵照执行。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0"/>
        <w:rPr>
          <w:rFonts w:hint="eastAsia" w:ascii="仿宋_GB2312" w:eastAsia="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0"/>
        <w:rPr>
          <w:rFonts w:hint="eastAsia" w:ascii="仿宋_GB2312" w:eastAsia="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0"/>
        <w:rPr>
          <w:rFonts w:hint="eastAsia" w:ascii="仿宋_GB2312" w:eastAsia="仿宋_GB2312"/>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outlineLvl w:val="0"/>
        <w:rPr>
          <w:rFonts w:hint="default" w:ascii="仿宋_GB2312" w:eastAsia="仿宋_GB2312"/>
          <w:b w:val="0"/>
          <w:bCs/>
          <w:sz w:val="32"/>
          <w:szCs w:val="32"/>
          <w:lang w:val="en-US" w:eastAsia="zh-CN"/>
        </w:rPr>
      </w:pPr>
      <w:r>
        <w:rPr>
          <w:rFonts w:hint="eastAsia" w:ascii="仿宋_GB2312" w:eastAsia="仿宋_GB2312"/>
          <w:b w:val="0"/>
          <w:bCs/>
          <w:sz w:val="32"/>
          <w:szCs w:val="32"/>
          <w:lang w:val="en-US" w:eastAsia="zh-CN"/>
        </w:rPr>
        <w:t>2025年8月15日</w:t>
      </w:r>
    </w:p>
    <w:p>
      <w:pPr>
        <w:pStyle w:val="6"/>
        <w:rPr>
          <w:rFonts w:hint="eastAsia" w:ascii="仿宋_GB2312" w:eastAsia="仿宋_GB2312"/>
          <w:b w:val="0"/>
          <w:bCs/>
          <w:sz w:val="32"/>
          <w:szCs w:val="32"/>
          <w:lang w:val="en-US" w:eastAsia="zh-CN"/>
        </w:rPr>
      </w:pPr>
    </w:p>
    <w:p>
      <w:pPr>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rPr>
          <w:rFonts w:hint="eastAsia" w:ascii="仿宋_GB2312" w:eastAsia="仿宋_GB2312"/>
          <w:b w:val="0"/>
          <w:bCs/>
          <w:sz w:val="32"/>
          <w:szCs w:val="32"/>
          <w:lang w:val="en-US" w:eastAsia="zh-CN"/>
        </w:rPr>
      </w:pPr>
    </w:p>
    <w:p>
      <w:pPr>
        <w:pStyle w:val="6"/>
        <w:rPr>
          <w:rFonts w:hint="eastAsia" w:ascii="仿宋_GB2312" w:eastAsia="仿宋_GB2312"/>
          <w:b w:val="0"/>
          <w:bCs/>
          <w:sz w:val="32"/>
          <w:szCs w:val="32"/>
          <w:lang w:val="en-US" w:eastAsia="zh-CN"/>
        </w:rPr>
      </w:pPr>
    </w:p>
    <w:p>
      <w:pPr>
        <w:pStyle w:val="6"/>
        <w:jc w:val="both"/>
        <w:rPr>
          <w:rFonts w:hint="eastAsia"/>
          <w:lang w:val="en-US" w:eastAsia="zh-CN"/>
        </w:rPr>
      </w:pPr>
    </w:p>
    <w:p>
      <w:pPr>
        <w:rPr>
          <w:rFonts w:hint="eastAsia"/>
          <w:lang w:val="en-US" w:eastAsia="zh-CN"/>
        </w:rPr>
      </w:pPr>
    </w:p>
    <w:p>
      <w:pPr>
        <w:tabs>
          <w:tab w:val="left" w:pos="628"/>
        </w:tabs>
        <w:bidi w:val="0"/>
        <w:jc w:val="left"/>
        <w:rPr>
          <w:rFonts w:hint="eastAsia" w:ascii="仿宋_GB2312" w:hAnsi="仿宋_GB2312" w:eastAsia="仿宋_GB2312" w:cs="仿宋_GB2312"/>
          <w:w w:val="90"/>
          <w:sz w:val="32"/>
          <w:szCs w:val="32"/>
          <w:lang w:val="en-US" w:eastAsia="zh-CN"/>
        </w:rPr>
      </w:pPr>
      <w:r>
        <w:rPr>
          <w:w w:val="90"/>
          <w:sz w:val="32"/>
          <w:szCs w:val="32"/>
        </w:rPr>
        <mc:AlternateContent>
          <mc:Choice Requires="wps">
            <w:drawing>
              <wp:anchor distT="0" distB="0" distL="114300" distR="114300" simplePos="0" relativeHeight="251661312" behindDoc="0" locked="0" layoutInCell="1" allowOverlap="1">
                <wp:simplePos x="0" y="0"/>
                <wp:positionH relativeFrom="column">
                  <wp:posOffset>-152400</wp:posOffset>
                </wp:positionH>
                <wp:positionV relativeFrom="paragraph">
                  <wp:posOffset>23495</wp:posOffset>
                </wp:positionV>
                <wp:extent cx="5706745" cy="0"/>
                <wp:effectExtent l="0" t="4445" r="0" b="5080"/>
                <wp:wrapNone/>
                <wp:docPr id="4" name="直接连接符 4"/>
                <wp:cNvGraphicFramePr/>
                <a:graphic xmlns:a="http://schemas.openxmlformats.org/drawingml/2006/main">
                  <a:graphicData uri="http://schemas.microsoft.com/office/word/2010/wordprocessingShape">
                    <wps:wsp>
                      <wps:cNvCnPr/>
                      <wps:spPr>
                        <a:xfrm>
                          <a:off x="961390" y="9183370"/>
                          <a:ext cx="5706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2pt;margin-top:1.85pt;height:0pt;width:449.35pt;z-index:251661312;mso-width-relative:page;mso-height-relative:page;" filled="f" stroked="t" coordsize="21600,21600" o:gfxdata="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u&#10;X2gv1AAAAAcBAAAPAAAAAAAAAAEAIAAAACIAAABkcnMvZG93bnJldi54bWxQSwECFAAUAAAACACH&#10;TuJABEDnP+8BAAC8AwAADgAAAAAAAAABACAAAAAjAQAAZHJzL2Uyb0RvYy54bWxQSwUGAAAAAAYA&#10;BgBZAQAAhAUAAAAA&#10;">
                <v:fill on="f" focussize="0,0"/>
                <v:stroke weight="0.5pt" color="#000000 [3213]" miterlimit="8" joinstyle="miter"/>
                <v:imagedata o:title=""/>
                <o:lock v:ext="edit" aspectratio="f"/>
              </v:line>
            </w:pict>
          </mc:Fallback>
        </mc:AlternateContent>
      </w:r>
      <w:r>
        <w:rPr>
          <w:w w:val="90"/>
          <w:sz w:val="32"/>
          <w:szCs w:val="32"/>
        </w:rPr>
        <mc:AlternateContent>
          <mc:Choice Requires="wps">
            <w:drawing>
              <wp:anchor distT="0" distB="0" distL="114300" distR="114300" simplePos="0" relativeHeight="251662336" behindDoc="0" locked="0" layoutInCell="1" allowOverlap="1">
                <wp:simplePos x="0" y="0"/>
                <wp:positionH relativeFrom="column">
                  <wp:posOffset>-168275</wp:posOffset>
                </wp:positionH>
                <wp:positionV relativeFrom="paragraph">
                  <wp:posOffset>340360</wp:posOffset>
                </wp:positionV>
                <wp:extent cx="5718810" cy="3175"/>
                <wp:effectExtent l="0" t="0" r="0" b="0"/>
                <wp:wrapNone/>
                <wp:docPr id="5" name="直接连接符 5"/>
                <wp:cNvGraphicFramePr/>
                <a:graphic xmlns:a="http://schemas.openxmlformats.org/drawingml/2006/main">
                  <a:graphicData uri="http://schemas.microsoft.com/office/word/2010/wordprocessingShape">
                    <wps:wsp>
                      <wps:cNvCnPr/>
                      <wps:spPr>
                        <a:xfrm>
                          <a:off x="0" y="0"/>
                          <a:ext cx="571881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25pt;margin-top:26.8pt;height:0.25pt;width:450.3pt;z-index:251662336;mso-width-relative:page;mso-height-relative:page;" filled="f" stroked="t" coordsize="21600,21600" o:gfxdata="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H+r+k2AAA&#10;AAkBAAAPAAAAAAAAAAEAIAAAACIAAABkcnMvZG93bnJldi54bWxQSwECFAAUAAAACACHTuJAwFCg&#10;A+UBAAC0AwAADgAAAAAAAAABACAAAAAnAQAAZHJzL2Uyb0RvYy54bWxQSwUGAAAAAAYABgBZAQAA&#10;fgUAAAAA&#10;">
                <v:fill on="f" focussize="0,0"/>
                <v:stroke weight="0.5pt" color="#000000 [3213]" miterlimit="8" joinstyle="miter"/>
                <v:imagedata o:title=""/>
                <o:lock v:ext="edit" aspectratio="f"/>
              </v:line>
            </w:pict>
          </mc:Fallback>
        </mc:AlternateContent>
      </w:r>
      <w:r>
        <w:rPr>
          <w:rFonts w:hint="eastAsia" w:ascii="仿宋_GB2312" w:hAnsi="仿宋_GB2312" w:eastAsia="仿宋_GB2312" w:cs="仿宋_GB2312"/>
          <w:w w:val="90"/>
          <w:sz w:val="32"/>
          <w:szCs w:val="32"/>
          <w:lang w:val="en-US" w:eastAsia="zh-CN"/>
        </w:rPr>
        <w:t xml:space="preserve">霍林郭勒市农牧局办公室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w w:val="90"/>
          <w:sz w:val="32"/>
          <w:szCs w:val="32"/>
          <w:lang w:val="en-US" w:eastAsia="zh-CN"/>
        </w:rPr>
        <w:t>2025年8月15日印发</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附件：</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霍林郭勒市农牧局</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关于严格规范涉企行政检查的实施方案</w:t>
      </w: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务院办公厅关于严格规范涉企行政检查的意见》(国办发〔2024〕54号)和《内蒙古自治区人民政府办公厅关于严格规范涉企行政检查的实施意见》(内政办发〔2025〕20号)《霍林郭勒市人民政府关于印发〈霍林郭勒市关于严格规范涉企行政检查的实施方案〉的通知》精神，全面规范我市农牧领域涉企行政检查行为，切实维护市场主体合法权益，持续优化法治化营商环境，结合我市农牧工作实际，制定本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一、工作目标</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学习贯彻习近平法治思想，认真贯彻落实党的二十大和二十届二中、三中全会精神，把铸牢中华民族共同体意识贯穿全面推进依法治市全过程、各方面，紧密结合我市农牧领域涉企行政执法工作实际，着力解决多头检查、检查频次过高、重复检查、随意检查、运动式检查等突出问题。通过从源头上强化管理，厘清各股室、局属二级单位行政检查权责边界，明确责任分工，优化工作流程，改进工作方式方法，坚决防止各行政执法相关股室、局属二级单位各自为政、行政检查不规范等现象，确保农牧领域涉企行政检查于法有据、严格规范、公正文明、精准高效，最大限度减少入企检查频次，降低行政检查对企业正常生产经营活动的干扰，持续提升涉企行政检查质效，助力优化法治化营商环境。</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二、主要任务</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（一）确认并公布行政检查主体、人员资格与条件。</w:t>
      </w:r>
      <w:r>
        <w:rPr>
          <w:rFonts w:hint="eastAsia" w:ascii="仿宋_GB2312" w:hAnsi="仿宋_GB2312" w:eastAsia="仿宋_GB2312" w:cs="仿宋_GB2312"/>
          <w:sz w:val="32"/>
          <w:szCs w:val="32"/>
        </w:rPr>
        <w:t>依据法律、法规、规章规定行使行政执法权的机关确定为霍林郭勒市农牧局，霍林郭勒市农牧局依据法律、法规、规章规定授权行使行政执法权的机构确定为霍林郭勒市农牧业综合行政执法大队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霍林郭勒市农牧局需配合司法行政部门、编办等部门，梳理确认本局及委托的行政执法主体，厘清行政检查事项，加强行政执法主体资格管理，每年向社会公告并实施动态管理。严格落实行政执法人员资格管理和持证上岗制度，行政执法人员必须持有相关部门统一制发的执法证件，严禁未取得执法证件的执法辅助人员、网格员、临时工等人员实施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执法人员开展检查时要主动出示执法证件，除法律另有规定外，执法过程中执法人员不得少于2人。（责任股室：综合股、农牧业综合行政执法大队）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（二）明确行政检查权限。</w:t>
      </w:r>
      <w:r>
        <w:rPr>
          <w:rFonts w:hint="eastAsia" w:ascii="仿宋_GB2312" w:hAnsi="仿宋_GB2312" w:eastAsia="仿宋_GB2312" w:cs="仿宋_GB2312"/>
          <w:sz w:val="32"/>
          <w:szCs w:val="32"/>
        </w:rPr>
        <w:t>以权责清单为基础，制定农牧领域行政检查事项清单，列明行政检查事项名称、设定和实施依据等基本要素，并向社会公布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涉企行政检查事项不得超出权责清单范围，因法律、法规、规章发生变化导致权责清单需调整的，应当及时完成调整并实施动态管理，同时按要求向司法等行政部门报送备案。（责任单位：畜牧兽医渔业股、农业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（三）严格规范行政检查标准。</w:t>
      </w:r>
      <w:r>
        <w:rPr>
          <w:rFonts w:hint="eastAsia" w:ascii="仿宋_GB2312" w:hAnsi="仿宋_GB2312" w:eastAsia="仿宋_GB2312" w:cs="仿宋_GB2312"/>
          <w:sz w:val="32"/>
          <w:szCs w:val="32"/>
        </w:rPr>
        <w:t>按照上级主管部门公布的行政检查标准，各股室、局属二级单位需完善行政检查事项的检查标准，每年向社会公布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同领域行政检查标准存在冲突的，应按规定提请本级政府或上一级主管部门协调，避免检查对象无所适从、同一事件出现不同检查标准的情况。同时，依据上级行政检查文书格式范本，推进行政检查规范化标准化建设，鼓励跨部门联合发布统一的行政检查标准和文书格式。（责任单位：畜牧兽医渔业股、农业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楷体" w:hAnsi="楷体" w:eastAsia="楷体" w:cs="楷体"/>
          <w:b/>
          <w:bCs/>
          <w:sz w:val="32"/>
          <w:szCs w:val="32"/>
        </w:rPr>
        <w:t>（四）实行行政检查计划管理。</w:t>
      </w:r>
      <w:r>
        <w:rPr>
          <w:rFonts w:hint="eastAsia" w:ascii="仿宋_GB2312" w:hAnsi="仿宋_GB2312" w:eastAsia="仿宋_GB2312" w:cs="仿宋_GB2312"/>
          <w:sz w:val="32"/>
          <w:szCs w:val="32"/>
        </w:rPr>
        <w:t>一是依据《霍林郭勒市关于严格规范涉企行政检查的实施方案》，制定农牧系统规范涉企行政检查实施方案，持续规范涉企行政检查行为，同时于每年年初制定年度行政检查计划，明确检查事项、检查依据、检查主体、检查对象、检查比例、检查频次、检查方式等内容，将年度检查计划报送市人民政府审批后向社会公布，除有法律规定外，不得将入企检查作为行政许可、行政给付等行政行为的前提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二是除直接涉及公共安全和人民群众生命健康等特殊行业、重点领域依法依规实行全覆盖重点监管外，日常涉企行政检查原则上通过“双随机、一公开”方式进行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落实分级分类检查制度，根据企业风险等级、信用情况、经营规范情况等采取差异化精准监管，合理确定检查方式、检查频次、抽查比例等，对信用等级高、风险等级低、评价结果好的企业，年度内可减少检查频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四是严格按照上级主管部门公布和要求的农牧领域对同一类型企业实施行政检查的年度频次上限开展执法检查活动，不得超频次、乱检查、重复检查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是上级主管部门要求或本局决定开展的专项检查实行年度数量控制，事先拟定检查方案，经市政府或实行垂直管理的上一级行政机关批准后备案，并向社会公布，开展专项检查与年度检查计划能衔接的则衔接，具体专项检查计划和事项需向司法行政部门报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六是实行行政执法检查年报制度，于当年年底将行政执法频次等工作情况报送至市司法行政部门。（责任单位：综合股、畜牧兽医渔业股、农业股、农牧业综合行政执法大队</w:t>
      </w:r>
      <w:r>
        <w:rPr>
          <w:rFonts w:hint="eastAsia" w:ascii="仿宋_GB2312" w:hAnsi="仿宋_GB2312" w:eastAsia="仿宋_GB2312" w:cs="仿宋_GB2312"/>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（五）大力推进“综合查一次”联合检查机制。</w:t>
      </w:r>
      <w:r>
        <w:rPr>
          <w:rFonts w:hint="eastAsia" w:ascii="仿宋_GB2312" w:hAnsi="仿宋_GB2312" w:eastAsia="仿宋_GB2312" w:cs="仿宋_GB2312"/>
          <w:sz w:val="32"/>
          <w:szCs w:val="32"/>
        </w:rPr>
        <w:t>一是行政检查应以“联合检查是常态，单独检查是例外”为原则，实施行政检查需制定检查方案并报行政执法主体负责人批准，不得仅由股室（局属二级单位）负责人批准，情况紧急需当场实施的，要及时报告并补办手续，各股室、局属二级单位对同一检查对象实施多项检查的，应整合内部股室和执法力量，原则上合并一次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是各股室、局属二级单位针对同一检查对象在相近时段内实施检查的，要根据年度行政执法年度检查计划，明确主责股室（局属二级单位）为牵头股室（局属二级单位）、其他股室（局属二级单位）为协同股室（局属二级单位），确定检查事项、检查内容、检查时间，由牵头股室（局属二级单位）统筹组织实施联合检查，做到应联合尽联合、应协同尽协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三是上级行政执法主体实施行政检查时，若同一领域不同层级行政执法主体对同一检查对象实施检查，我局需在提供属地监管信息的同时，制定联合检查方案，整合检查力量，与检查计划合并执行，避免重复检查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是有专项检查任务的，若与尚未开展的检查计划能够合并实施，原则上应当合并实施，做到“进一次门，查多项事”，减少检查次数。（责任单位：畜牧兽医渔业股、农业股、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(六)加强委托执法的衔接和管理。</w:t>
      </w:r>
      <w:r>
        <w:rPr>
          <w:rFonts w:hint="eastAsia" w:ascii="仿宋_GB2312" w:hAnsi="仿宋_GB2312" w:eastAsia="仿宋_GB2312" w:cs="仿宋_GB2312"/>
          <w:sz w:val="32"/>
          <w:szCs w:val="32"/>
        </w:rPr>
        <w:t>霍林郭勒市农牧局可依法将行政处罚权委托给霍林郭勒市农牧业综合行政执法大队实施，执法大队需以霍林郭勒市农牧局名义实施行政行为，并接受霍林郭勒市农牧局监督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法大队依据法律授权行使行政职权，霍林郭勒市农牧局对执法大队实施行政执法行为应当负责培训、监督与指导，并对其在授权范围内实施的行政行为承担法律责任，确保执法行为符合法律规定。执法大队必须在授权范围内以霍林郭勒市农牧局名义执法，确保行政执法合法合规，并及时报告相关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不得超越权限执法，不得再委托其他组织或个人实施行政执法。（责任单位：综合股、农牧业综合行政执法大队）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(七)严格落实行政执法“三项制度”。</w:t>
      </w:r>
      <w:r>
        <w:rPr>
          <w:rFonts w:hint="eastAsia" w:ascii="仿宋_GB2312" w:hAnsi="仿宋_GB2312" w:eastAsia="仿宋_GB2312" w:cs="仿宋_GB2312"/>
          <w:sz w:val="32"/>
          <w:szCs w:val="32"/>
        </w:rPr>
        <w:t>一是推进执法全过程记录。一线执法人员规范做好文字记录的同时，统一配备执法记录仪等设备，规范管理和使用设备，保障执法工作全过程记录的完备。二是依法公示行政执法信息，主动向社会公开执法人员、执法内容、执法记录等信息，积极拓宽信息公开渠道，接受企业和社会监督。三是规范重大行政执法决定审核制度。严格落实重大行政执法决定法制审核制度，明确审核内容、审核责任。农牧局需确定法制审核人员，规范法制审核内容及法制审核工作流程，将法制审核人员情况向司法行政部门报备，并动态调整。严禁任意处罚企业，不得乱查封、乱扣押、乱冻结，干扰企业正常生产经营。（责任单位：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(八)优化投诉举报转办等行政检查、复查任务。</w:t>
      </w:r>
      <w:r>
        <w:rPr>
          <w:rFonts w:hint="eastAsia" w:ascii="仿宋_GB2312" w:hAnsi="仿宋_GB2312" w:eastAsia="仿宋_GB2312" w:cs="仿宋_GB2312"/>
          <w:sz w:val="32"/>
          <w:szCs w:val="32"/>
        </w:rPr>
        <w:t>各股室、局属事业单位根据投诉举报、转办交办、数据监测等线索，确需实施现场检查或应企业申请实施行政检查的，可不受年度频次上限限制，但不得明显超过合理频次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检查内容能够与尚未执行的计划检查任务合并实施的，原则上应当合并实施，现场检查内容能够覆盖计划检查内容的，可视为已完成计划内的检查任务。（责任单位：畜牧兽医渔业股、农业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（九）全面推行“扫码入企”。</w:t>
      </w:r>
      <w:r>
        <w:rPr>
          <w:rFonts w:hint="eastAsia" w:ascii="仿宋_GB2312" w:hAnsi="仿宋_GB2312" w:eastAsia="仿宋_GB2312" w:cs="仿宋_GB2312"/>
          <w:sz w:val="32"/>
          <w:szCs w:val="32"/>
        </w:rPr>
        <w:t>自2025年7月4日起，严格按照要求全面推行“扫码入企”机制，各股室、局属二级单位的执法人员进入企业开展执法检查时，必须使用“通辽执法”手机APP的“入企扫码”功能，实行“检查登记、扫码入企、企业评价、统计管理”全流程闭环管理，以刚性约束规范涉企行政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根据数据分析和企业评价情况开展分析研究，对执法人员存在的问题进行核查，情况属实的予以通报，进而进一步优化法治化营商环境，实现“阳光运营，无事不扰”。（责任单位：畜牧兽医渔业股、农业股、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（十）深化服务型行政执法。</w:t>
      </w:r>
      <w:r>
        <w:rPr>
          <w:rFonts w:hint="eastAsia" w:ascii="仿宋_GB2312" w:hAnsi="仿宋_GB2312" w:eastAsia="仿宋_GB2312" w:cs="仿宋_GB2312"/>
          <w:sz w:val="32"/>
          <w:szCs w:val="32"/>
        </w:rPr>
        <w:t>各股室、局属二级单位要通过合法合规指引、行政指导与靶向提示等方式，结合带着专业人员、“执法+普法”同步等措施开展执法检查，重点强化对经营主体的合法合规指导，从源头上消除企业存在的风险隐患，指导企业加强内部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危害人民群众生命健康、公共安全、破坏市场秩序等严重违法行为，依法予以处罚，确保行政处罚与违法行为的社会危害程度相适应，兼顾本市农牧经济发展水平、农牧行业特点等因素，实现惩戒与教育相结合。推行包容审慎执法，坚持过罚相当，严格落实不予处罚、从轻处罚、减轻处罚、免予行政强制相关规定，行政执法单位对已处罚的企业进行跟踪回访，掌握整改情况并提供必要的帮扶指导，运用政策辅导、说服教育、劝导示范、指导性约谈等柔性执法手段，做到宽严相济、刚柔并举，巩固执法效果。（责任单位：畜牧兽医渔业股、农业股、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（十一）推广非现场行政检查。</w:t>
      </w:r>
      <w:r>
        <w:rPr>
          <w:rFonts w:hint="eastAsia" w:ascii="仿宋_GB2312" w:hAnsi="仿宋_GB2312" w:eastAsia="仿宋_GB2312" w:cs="仿宋_GB2312"/>
          <w:sz w:val="32"/>
          <w:szCs w:val="32"/>
        </w:rPr>
        <w:t>各股室、局属二级单位要充分运用互联网、大数据、人工智能等技术，推行远程监管、数据分析监管、线上监管等以预警防控为特征的非现场行政检查，积极拓展非现场执法场景应用，能够通过非现场监管方式达到行政检查要求的，原则上不实施现场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通过信息共享、书面核查、智慧监管等方式可以达到检查目的的，不进行现场检查。强化与其他相关监管部门的数据共享、信息互通，通过共享信息研判检查对象守法情况，主动发现和识别违法违规行为及线索，助力精准检查，减少现场检查次数。（责任单位：畜牧兽医渔业股、农业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（十二）严格区分行政检查与服务指导等事项。</w:t>
      </w:r>
      <w:r>
        <w:rPr>
          <w:rFonts w:hint="eastAsia" w:ascii="仿宋_GB2312" w:hAnsi="仿宋_GB2312" w:eastAsia="仿宋_GB2312" w:cs="仿宋_GB2312"/>
          <w:sz w:val="32"/>
          <w:szCs w:val="32"/>
        </w:rPr>
        <w:t>各股室、局属二级单位要进一步厘清为企业提供技术指导、咨询服务、普法宣传等帮助企业预防化解风险、解决技术难题、提高产业水平、促进企业发展的服务行为，与行政检查之间的边界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要指导本行业本领域监管企业做好日常管理的监督与指导工作，要求企业进一步规范内部管理制度、建设相关台账，切实保障安全运营，推动企业持续健康发展。（责任单位：畜牧兽医渔业股、农业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（十三）严肃责任追究。</w:t>
      </w:r>
      <w:r>
        <w:rPr>
          <w:rFonts w:hint="eastAsia" w:ascii="仿宋_GB2312" w:hAnsi="仿宋_GB2312" w:eastAsia="仿宋_GB2312" w:cs="仿宋_GB2312"/>
          <w:sz w:val="32"/>
          <w:szCs w:val="32"/>
        </w:rPr>
        <w:t>成立农牧局案件评查小组，深入开展自查自纠工作，逐案进行分析研判，梳理排查本部门存在的问题并形成问题清单，建立整改台账，实行清单销号管理，强化整改落实成效，同时对相关责任人开展教育或实施追责问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针对群众反映强烈的“一刀切”执法、趋利性执法、任意处罚以及乱查封、乱扣押、乱冻结等突出问题，常态化开展督查检查，对涉及严重损害企业合法权益的问题线索坚持严查快办，对存在违纪违法行为的行政执法部门负责人或相关责任人，依法依规进行责任追究。（责任单位：畜牧兽医渔业股、农业股、综合股、农牧业综合行政执法大队）</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黑体" w:hAnsi="黑体" w:eastAsia="黑体" w:cs="黑体"/>
          <w:b w:val="0"/>
          <w:bCs w:val="0"/>
          <w:sz w:val="32"/>
          <w:szCs w:val="32"/>
        </w:rPr>
      </w:pPr>
      <w:r>
        <w:rPr>
          <w:rFonts w:hint="eastAsia" w:ascii="黑体" w:hAnsi="黑体" w:eastAsia="黑体" w:cs="黑体"/>
          <w:b w:val="0"/>
          <w:bCs w:val="0"/>
          <w:sz w:val="32"/>
          <w:szCs w:val="32"/>
        </w:rPr>
        <w:t>三、保障措施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(一)加强组织保障。</w:t>
      </w:r>
      <w:r>
        <w:rPr>
          <w:rFonts w:hint="eastAsia" w:ascii="仿宋_GB2312" w:hAnsi="仿宋_GB2312" w:eastAsia="仿宋_GB2312" w:cs="仿宋_GB2312"/>
          <w:sz w:val="32"/>
          <w:szCs w:val="32"/>
        </w:rPr>
        <w:t>“一把手” 严格履行第一责任人责任，加强行政检查工作的统筹协调，强化沟通联系，实时跟踪工作进展，对行政检查过程中出现的共性问题及时组织专题研究、制定解决方案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局内各股室、局属</w:t>
      </w:r>
      <w:r>
        <w:rPr>
          <w:rFonts w:hint="eastAsia"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rPr>
        <w:t>单位要切实压实执法主体责任，明确责任分工、细化履职标准，确保行政检查各项任务依规推进、落地见效，共同保障行政检查工作规范高效开展。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(二)提升执法队伍整体水平。</w:t>
      </w:r>
      <w:r>
        <w:rPr>
          <w:rFonts w:hint="eastAsia" w:ascii="仿宋_GB2312" w:hAnsi="仿宋_GB2312" w:eastAsia="仿宋_GB2312" w:cs="仿宋_GB2312"/>
          <w:sz w:val="32"/>
          <w:szCs w:val="32"/>
        </w:rPr>
        <w:t>各股室、局属二级单位牢固树立和践行“监管为民”核心理念，将规范涉企行政检查相关内容纳入行政执法培训内容，提升行政执法人员的执法理念、执法能力和执法水平，切实将服务贯穿于行政检查事前、事中和事后全过程、各方面。</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43" w:firstLineChars="200"/>
        <w:textAlignment w:val="baseline"/>
        <w:rPr>
          <w:rFonts w:hint="eastAsia" w:ascii="仿宋_GB2312" w:hAnsi="仿宋_GB2312" w:eastAsia="仿宋_GB2312" w:cs="仿宋_GB2312"/>
          <w:sz w:val="32"/>
          <w:szCs w:val="32"/>
        </w:rPr>
      </w:pPr>
      <w:r>
        <w:rPr>
          <w:rFonts w:hint="eastAsia" w:ascii="楷体" w:hAnsi="楷体" w:eastAsia="楷体" w:cs="楷体"/>
          <w:b/>
          <w:bCs/>
          <w:sz w:val="32"/>
          <w:szCs w:val="32"/>
        </w:rPr>
        <w:t>（三）建立健全行政检查效能监督。</w:t>
      </w:r>
      <w:r>
        <w:rPr>
          <w:rFonts w:hint="eastAsia" w:ascii="仿宋_GB2312" w:hAnsi="仿宋_GB2312" w:eastAsia="仿宋_GB2312" w:cs="仿宋_GB2312"/>
          <w:sz w:val="32"/>
          <w:szCs w:val="32"/>
        </w:rPr>
        <w:t>根据年度行政检查计划，对现场检查频次进行严格控制和管理，结合检查总量、执法实际，以及执法的合法性、合理性、必要性和时效性，同时参照“双随机、一公开”运用率、跨部门联合检查情况、非现场检查情况、检查发现问题情况、帮扶指导解决问题情况，兼顾检查计划统筹、检查任务实施、服务型检查等情况，将各股室、局属二级单位及执法人员纳入执法监督范围，进一步规范行政检查实施情况。</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仿宋_GB2312" w:eastAsia="仿宋_GB2312" w:cs="仿宋_GB2312"/>
          <w:sz w:val="32"/>
          <w:szCs w:val="32"/>
        </w:rPr>
      </w:pPr>
    </w:p>
    <w:p>
      <w:pPr>
        <w:tabs>
          <w:tab w:val="left" w:pos="628"/>
        </w:tabs>
        <w:bidi w:val="0"/>
        <w:jc w:val="left"/>
        <w:rPr>
          <w:rFonts w:hint="eastAsia" w:ascii="仿宋_GB2312" w:hAnsi="仿宋_GB2312" w:eastAsia="仿宋_GB2312" w:cs="仿宋_GB2312"/>
          <w:w w:val="90"/>
          <w:sz w:val="32"/>
          <w:szCs w:val="32"/>
          <w:lang w:val="en-US" w:eastAsia="zh-CN"/>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5YmY5MTlhNDYzMjQ3Y2I3ZGVlNjk3NDJjYWQ3ZGIifQ=="/>
  </w:docVars>
  <w:rsids>
    <w:rsidRoot w:val="322B10F3"/>
    <w:rsid w:val="05BF6C76"/>
    <w:rsid w:val="05E87588"/>
    <w:rsid w:val="08BF0E65"/>
    <w:rsid w:val="09CD27F9"/>
    <w:rsid w:val="0A5E4309"/>
    <w:rsid w:val="17657B49"/>
    <w:rsid w:val="1C1733B9"/>
    <w:rsid w:val="1D120F2D"/>
    <w:rsid w:val="1DEA07C2"/>
    <w:rsid w:val="1EFD4734"/>
    <w:rsid w:val="1FBE7B72"/>
    <w:rsid w:val="1FEA61FF"/>
    <w:rsid w:val="21C46AF0"/>
    <w:rsid w:val="223231A4"/>
    <w:rsid w:val="28407EB4"/>
    <w:rsid w:val="2AB34BC7"/>
    <w:rsid w:val="2CBA0563"/>
    <w:rsid w:val="322B10F3"/>
    <w:rsid w:val="3918660C"/>
    <w:rsid w:val="3B01073A"/>
    <w:rsid w:val="3BB75E87"/>
    <w:rsid w:val="40A35345"/>
    <w:rsid w:val="42CF712B"/>
    <w:rsid w:val="4A992C2D"/>
    <w:rsid w:val="4AC61F3D"/>
    <w:rsid w:val="4C224844"/>
    <w:rsid w:val="4FAD1729"/>
    <w:rsid w:val="50D47596"/>
    <w:rsid w:val="54F57C3F"/>
    <w:rsid w:val="5F1764A6"/>
    <w:rsid w:val="5F5C251F"/>
    <w:rsid w:val="611F5442"/>
    <w:rsid w:val="61B175CE"/>
    <w:rsid w:val="6D6C638B"/>
    <w:rsid w:val="6FC258A0"/>
    <w:rsid w:val="73D2750D"/>
    <w:rsid w:val="766E5A1D"/>
    <w:rsid w:val="787119EB"/>
    <w:rsid w:val="7C965AD2"/>
    <w:rsid w:val="7E94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line="560" w:lineRule="exact"/>
      <w:ind w:left="0" w:firstLine="880" w:firstLineChars="200"/>
    </w:pPr>
    <w:rPr>
      <w:rFonts w:eastAsia="仿宋_GB2312" w:asciiTheme="minorAscii" w:hAnsiTheme="minorAscii" w:cstheme="minorBidi"/>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6">
    <w:name w:val="Title"/>
    <w:basedOn w:val="1"/>
    <w:autoRedefine/>
    <w:qFormat/>
    <w:uiPriority w:val="0"/>
    <w:pPr>
      <w:spacing w:before="240" w:after="60"/>
      <w:jc w:val="center"/>
      <w:textAlignment w:val="baseline"/>
    </w:pPr>
    <w:rPr>
      <w:rFonts w:ascii="Arial" w:hAnsi="Arial" w:eastAsia="宋体" w:cs="Arial"/>
      <w:b/>
      <w:bCs/>
      <w:kern w:val="2"/>
      <w:sz w:val="32"/>
      <w:szCs w:val="32"/>
      <w:lang w:val="en-US" w:eastAsia="zh-CN" w:bidi="ar-SA"/>
    </w:rPr>
  </w:style>
  <w:style w:type="character" w:customStyle="1" w:styleId="9">
    <w:name w:val="NormalCharacter"/>
    <w:link w:val="1"/>
    <w:autoRedefine/>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272</Words>
  <Characters>293</Characters>
  <Lines>0</Lines>
  <Paragraphs>0</Paragraphs>
  <TotalTime>0</TotalTime>
  <ScaleCrop>false</ScaleCrop>
  <LinksUpToDate>false</LinksUpToDate>
  <CharactersWithSpaces>311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2022-12-06T01:23:00Z</dcterms:created>
  <dc:creator>旧梦_</dc:creator>
  <cp:lastModifiedBy>qzuser</cp:lastModifiedBy>
  <cp:lastPrinted>2025-08-21T04:15:00Z</cp:lastPrinted>
  <dcterms:modified xsi:type="dcterms:W3CDTF">2025-10-22T08:56:58Z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772DE8B562B041C6A4062308366FB6CE_13</vt:lpwstr>
  </property>
  <property fmtid="{D5CDD505-2E9C-101B-9397-08002B2CF9AE}" pid="4" name="KSOTemplateDocerSaveRecord">
    <vt:lpwstr>eyJoZGlkIjoiZTkxYWFmZGZmZWNmOWQ4ZjgzMTM4ZGIxN2U4ODljZGQiLCJ1c2VySWQiOiIzMjYwMjk2MzIifQ==</vt:lpwstr>
  </property>
</Properties>
</file>